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jc w:val="center"/>
        <w:tblBorders>
          <w:top w:val="double" w:sz="4" w:space="0" w:color="4472C4"/>
          <w:left w:val="double" w:sz="4" w:space="0" w:color="4472C4"/>
          <w:bottom w:val="double" w:sz="4" w:space="0" w:color="4472C4"/>
          <w:right w:val="double" w:sz="4" w:space="0" w:color="4472C4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3780"/>
      </w:tblGrid>
      <w:tr w:rsidR="00DF2115" w:rsidRPr="00DF2115" w:rsidTr="00705A67">
        <w:trPr>
          <w:cantSplit/>
          <w:trHeight w:val="1970"/>
          <w:jc w:val="center"/>
        </w:trPr>
        <w:tc>
          <w:tcPr>
            <w:tcW w:w="6480" w:type="dxa"/>
            <w:tcBorders>
              <w:top w:val="single" w:sz="12" w:space="0" w:color="2F5496"/>
              <w:left w:val="single" w:sz="12" w:space="0" w:color="2F5496"/>
              <w:bottom w:val="single" w:sz="12" w:space="0" w:color="2F5496"/>
            </w:tcBorders>
            <w:shd w:val="clear" w:color="auto" w:fill="auto"/>
          </w:tcPr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textAlignment w:val="baseline"/>
              <w:rPr>
                <w:rFonts w:ascii="Palatino" w:eastAsia="Times New Roman" w:hAnsi="Palatino" w:cs="Times New Roman"/>
                <w:noProof/>
                <w:sz w:val="12"/>
                <w:szCs w:val="12"/>
              </w:rPr>
            </w:pPr>
            <w:r w:rsidRPr="00DF2115">
              <w:rPr>
                <w:rFonts w:ascii="Palatino" w:eastAsia="Times New Roman" w:hAnsi="Palatino" w:cs="Times New Roman"/>
                <w:noProof/>
                <w:sz w:val="20"/>
                <w:szCs w:val="20"/>
              </w:rPr>
              <w:t xml:space="preserve">  </w:t>
            </w:r>
          </w:p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textAlignment w:val="baseline"/>
              <w:rPr>
                <w:rFonts w:ascii="Arial" w:eastAsia="Times New Roman" w:hAnsi="Arial" w:cs="Times New Roman"/>
                <w:noProof/>
                <w:sz w:val="12"/>
                <w:szCs w:val="20"/>
              </w:rPr>
            </w:pPr>
            <w:r w:rsidRPr="00DF2115">
              <w:rPr>
                <w:rFonts w:ascii="Palatino" w:eastAsia="Times New Roman" w:hAnsi="Palatino" w:cs="Times New Roman"/>
                <w:noProof/>
                <w:sz w:val="20"/>
                <w:szCs w:val="20"/>
              </w:rPr>
              <w:t xml:space="preserve">   </w:t>
            </w:r>
            <w:r w:rsidRPr="00DF2115">
              <w:rPr>
                <w:rFonts w:ascii="Palatino" w:eastAsia="Times New Roman" w:hAnsi="Palatino" w:cs="Times New Roman"/>
                <w:noProof/>
                <w:sz w:val="20"/>
                <w:szCs w:val="20"/>
              </w:rPr>
              <w:drawing>
                <wp:inline distT="0" distB="0" distL="0" distR="0">
                  <wp:extent cx="552450" cy="733425"/>
                  <wp:effectExtent l="0" t="0" r="0" b="9525"/>
                  <wp:docPr id="12" name="Picture 12" descr="ubc colou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ubc colour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2115">
              <w:rPr>
                <w:rFonts w:ascii="Palatino" w:eastAsia="Times New Roman" w:hAnsi="Palatino" w:cs="Times New Roman"/>
                <w:noProof/>
                <w:sz w:val="20"/>
                <w:szCs w:val="20"/>
              </w:rPr>
              <w:t xml:space="preserve">      </w:t>
            </w:r>
            <w:r w:rsidRPr="00DF2115">
              <w:rPr>
                <w:rFonts w:ascii="Palatino" w:eastAsia="Times New Roman" w:hAnsi="Palatino" w:cs="Times New Roman"/>
                <w:noProof/>
                <w:sz w:val="20"/>
                <w:szCs w:val="20"/>
              </w:rPr>
              <w:drawing>
                <wp:inline distT="0" distB="0" distL="0" distR="0">
                  <wp:extent cx="962025" cy="8001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2115">
              <w:rPr>
                <w:rFonts w:ascii="Palatino" w:eastAsia="Times New Roman" w:hAnsi="Palatino" w:cs="Times New Roman"/>
                <w:noProof/>
                <w:sz w:val="20"/>
                <w:szCs w:val="20"/>
              </w:rPr>
              <w:t xml:space="preserve"> </w:t>
            </w:r>
            <w:r w:rsidRPr="00DF2115">
              <w:rPr>
                <w:rFonts w:ascii="Palatino" w:eastAsia="Times New Roman" w:hAnsi="Palatino" w:cs="Times New Roman"/>
                <w:noProof/>
                <w:sz w:val="20"/>
                <w:szCs w:val="20"/>
              </w:rPr>
              <w:drawing>
                <wp:inline distT="0" distB="0" distL="0" distR="0">
                  <wp:extent cx="2076450" cy="7524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115" w:rsidRPr="00DF2115" w:rsidRDefault="00DF2115" w:rsidP="00DF2115">
            <w:pPr>
              <w:tabs>
                <w:tab w:val="left" w:pos="20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textAlignment w:val="baseline"/>
              <w:rPr>
                <w:rFonts w:ascii="Palatino" w:eastAsia="Times New Roman" w:hAnsi="Palatino" w:cs="Times New Roman"/>
                <w:noProof/>
                <w:sz w:val="12"/>
                <w:szCs w:val="12"/>
              </w:rPr>
            </w:pPr>
            <w:r w:rsidRPr="00DF2115">
              <w:rPr>
                <w:rFonts w:ascii="Palatino" w:eastAsia="Times New Roman" w:hAnsi="Palatino" w:cs="Times New Roman"/>
                <w:noProof/>
                <w:sz w:val="20"/>
                <w:szCs w:val="20"/>
              </w:rPr>
              <w:t xml:space="preserve">               </w:t>
            </w:r>
            <w:r w:rsidRPr="00DF2115">
              <w:rPr>
                <w:rFonts w:ascii="Palatino" w:eastAsia="Times New Roman" w:hAnsi="Palatino" w:cs="Times New Roman"/>
                <w:noProof/>
                <w:sz w:val="20"/>
                <w:szCs w:val="20"/>
              </w:rPr>
              <w:tab/>
            </w:r>
          </w:p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textAlignment w:val="baseline"/>
              <w:rPr>
                <w:rFonts w:ascii="Calibri" w:eastAsia="Times New Roman" w:hAnsi="Calibri" w:cs="Times New Roman"/>
                <w:b/>
                <w:noProof/>
                <w:color w:val="000080"/>
                <w:sz w:val="18"/>
                <w:szCs w:val="18"/>
              </w:rPr>
            </w:pPr>
            <w:r w:rsidRPr="00DF2115">
              <w:rPr>
                <w:rFonts w:ascii="Calibri" w:eastAsia="Times New Roman" w:hAnsi="Calibri" w:cs="Times New Roman"/>
                <w:b/>
                <w:noProof/>
                <w:color w:val="000080"/>
                <w:sz w:val="18"/>
                <w:szCs w:val="18"/>
              </w:rPr>
              <w:t>University of British Colum</w:t>
            </w:r>
            <w:smartTag w:uri="urn:schemas-microsoft-com:office:smarttags" w:element="PersonName">
              <w:r w:rsidRPr="00DF2115">
                <w:rPr>
                  <w:rFonts w:ascii="Calibri" w:eastAsia="Times New Roman" w:hAnsi="Calibri" w:cs="Times New Roman"/>
                  <w:b/>
                  <w:noProof/>
                  <w:color w:val="000080"/>
                  <w:sz w:val="18"/>
                  <w:szCs w:val="18"/>
                </w:rPr>
                <w:t>b</w:t>
              </w:r>
            </w:smartTag>
            <w:r w:rsidRPr="00DF2115">
              <w:rPr>
                <w:rFonts w:ascii="Calibri" w:eastAsia="Times New Roman" w:hAnsi="Calibri" w:cs="Times New Roman"/>
                <w:b/>
                <w:noProof/>
                <w:color w:val="000080"/>
                <w:sz w:val="18"/>
                <w:szCs w:val="18"/>
              </w:rPr>
              <w:t xml:space="preserve">ia – Children’s &amp; Women’s Research Ethics Board </w:t>
            </w:r>
          </w:p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textAlignment w:val="baseline"/>
              <w:rPr>
                <w:rFonts w:ascii="Palatino" w:eastAsia="Times New Roman" w:hAnsi="Palatino" w:cs="Times New Roman"/>
                <w:b/>
                <w:noProof/>
                <w:sz w:val="14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2F5496"/>
              <w:bottom w:val="single" w:sz="12" w:space="0" w:color="2F5496"/>
              <w:right w:val="single" w:sz="12" w:space="0" w:color="2F5496"/>
            </w:tcBorders>
            <w:shd w:val="clear" w:color="auto" w:fill="auto"/>
            <w:vAlign w:val="center"/>
          </w:tcPr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textAlignment w:val="baseline"/>
              <w:rPr>
                <w:rFonts w:ascii="Calibri" w:eastAsia="Times New Roman" w:hAnsi="Calibri" w:cs="Times New Roman"/>
                <w:b/>
                <w:noProof/>
                <w:color w:val="000080"/>
                <w:sz w:val="18"/>
                <w:szCs w:val="18"/>
              </w:rPr>
            </w:pPr>
            <w:r w:rsidRPr="00DF2115">
              <w:rPr>
                <w:rFonts w:ascii="Calibri" w:eastAsia="Times New Roman" w:hAnsi="Calibri" w:cs="Times New Roman"/>
                <w:b/>
                <w:noProof/>
                <w:color w:val="000080"/>
                <w:sz w:val="18"/>
                <w:szCs w:val="18"/>
              </w:rPr>
              <w:t>UBC C&amp;W Research Ethics Board</w:t>
            </w:r>
          </w:p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textAlignment w:val="baseline"/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</w:pPr>
            <w:r w:rsidRPr="00DF2115"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  <w:t>Room A2-141A</w:t>
            </w:r>
          </w:p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textAlignment w:val="baseline"/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</w:pPr>
            <w:r w:rsidRPr="00DF2115"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  <w:t>950 West 28th Avenue</w:t>
            </w:r>
          </w:p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textAlignment w:val="baseline"/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</w:pPr>
            <w:r w:rsidRPr="00DF2115"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  <w:t>Vancouver, B.C.  V5Z 4H4</w:t>
            </w:r>
          </w:p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textAlignment w:val="baseline"/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</w:pPr>
            <w:r w:rsidRPr="00DF2115"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  <w:t xml:space="preserve">Tel: (604) 875-3103     </w:t>
            </w:r>
          </w:p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textAlignment w:val="baseline"/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</w:pPr>
            <w:r w:rsidRPr="00DF2115"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  <w:t xml:space="preserve">Email:  </w:t>
            </w:r>
            <w:hyperlink r:id="rId11" w:history="1">
              <w:r w:rsidRPr="00DF2115">
                <w:rPr>
                  <w:rFonts w:ascii="Calibri" w:eastAsia="Times New Roman" w:hAnsi="Calibri" w:cs="Times New Roman"/>
                  <w:noProof/>
                  <w:color w:val="0000FF"/>
                  <w:sz w:val="18"/>
                  <w:szCs w:val="18"/>
                  <w:u w:val="single"/>
                </w:rPr>
                <w:t>cwreb@bcchr.ubc.ca</w:t>
              </w:r>
            </w:hyperlink>
            <w:r w:rsidRPr="00DF2115"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  <w:t xml:space="preserve"> </w:t>
            </w:r>
          </w:p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textAlignment w:val="baseline"/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</w:pPr>
            <w:r w:rsidRPr="00DF2115"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  <w:t xml:space="preserve">Website: </w:t>
            </w:r>
            <w:hyperlink r:id="rId12" w:history="1">
              <w:r w:rsidRPr="00DF2115">
                <w:rPr>
                  <w:rFonts w:ascii="Calibri" w:eastAsia="Times New Roman" w:hAnsi="Calibri" w:cs="Times New Roman"/>
                  <w:noProof/>
                  <w:color w:val="0000FF"/>
                  <w:sz w:val="18"/>
                  <w:szCs w:val="18"/>
                  <w:u w:val="single"/>
                  <w:lang w:val="en-CA"/>
                </w:rPr>
                <w:t>www.phsa.ca/researchethics</w:t>
              </w:r>
            </w:hyperlink>
            <w:r w:rsidRPr="00DF2115"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  <w:t xml:space="preserve">  </w:t>
            </w:r>
          </w:p>
          <w:p w:rsidR="00DF2115" w:rsidRPr="00DF2115" w:rsidRDefault="00DF2115" w:rsidP="00DF2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"/>
              <w:textAlignment w:val="baseline"/>
              <w:rPr>
                <w:rFonts w:ascii="Palatino" w:eastAsia="Times New Roman" w:hAnsi="Palatino" w:cs="Times New Roman"/>
                <w:noProof/>
                <w:sz w:val="16"/>
                <w:szCs w:val="20"/>
              </w:rPr>
            </w:pPr>
            <w:r w:rsidRPr="00DF2115"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  <w:t xml:space="preserve">RISe: </w:t>
            </w:r>
            <w:hyperlink r:id="rId13" w:history="1">
              <w:r w:rsidRPr="00DF2115">
                <w:rPr>
                  <w:rFonts w:ascii="Calibri" w:eastAsia="Times New Roman" w:hAnsi="Calibri" w:cs="Times New Roman"/>
                  <w:noProof/>
                  <w:color w:val="0000FF"/>
                  <w:sz w:val="18"/>
                  <w:szCs w:val="18"/>
                  <w:u w:val="single"/>
                </w:rPr>
                <w:t>https://rise.ubc.ca</w:t>
              </w:r>
            </w:hyperlink>
            <w:r w:rsidRPr="00DF2115">
              <w:rPr>
                <w:rFonts w:ascii="Calibri" w:eastAsia="Times New Roman" w:hAnsi="Calibri" w:cs="Times New Roman"/>
                <w:noProof/>
                <w:color w:val="000080"/>
                <w:sz w:val="18"/>
                <w:szCs w:val="18"/>
              </w:rPr>
              <w:t xml:space="preserve"> </w:t>
            </w:r>
          </w:p>
        </w:tc>
      </w:tr>
    </w:tbl>
    <w:p w:rsidR="00DF2115" w:rsidRDefault="00DF2115" w:rsidP="00647FC4">
      <w:pPr>
        <w:jc w:val="center"/>
        <w:rPr>
          <w:b/>
          <w:sz w:val="24"/>
          <w:szCs w:val="24"/>
          <w:u w:val="single"/>
        </w:rPr>
      </w:pPr>
    </w:p>
    <w:p w:rsidR="00DA2A51" w:rsidRPr="00DF2115" w:rsidRDefault="00647FC4" w:rsidP="00647FC4">
      <w:pPr>
        <w:jc w:val="center"/>
        <w:rPr>
          <w:b/>
          <w:caps/>
          <w:sz w:val="28"/>
          <w:szCs w:val="24"/>
          <w:u w:val="single"/>
        </w:rPr>
      </w:pPr>
      <w:r w:rsidRPr="00DF2115">
        <w:rPr>
          <w:b/>
          <w:caps/>
          <w:sz w:val="28"/>
          <w:szCs w:val="24"/>
          <w:u w:val="single"/>
        </w:rPr>
        <w:t xml:space="preserve">C&amp;W </w:t>
      </w:r>
      <w:r w:rsidR="005F4638" w:rsidRPr="00DF2115">
        <w:rPr>
          <w:b/>
          <w:caps/>
          <w:sz w:val="28"/>
          <w:szCs w:val="24"/>
          <w:u w:val="single"/>
        </w:rPr>
        <w:t xml:space="preserve">Research </w:t>
      </w:r>
      <w:r w:rsidR="009834F6">
        <w:rPr>
          <w:b/>
          <w:caps/>
          <w:sz w:val="28"/>
          <w:szCs w:val="24"/>
          <w:u w:val="single"/>
        </w:rPr>
        <w:t xml:space="preserve">GUIDANCE </w:t>
      </w:r>
      <w:r w:rsidR="005F4638" w:rsidRPr="00DF2115">
        <w:rPr>
          <w:b/>
          <w:caps/>
          <w:sz w:val="28"/>
          <w:szCs w:val="24"/>
          <w:u w:val="single"/>
        </w:rPr>
        <w:t>during curtailment</w:t>
      </w:r>
    </w:p>
    <w:p w:rsidR="00647FC4" w:rsidRPr="00730902" w:rsidRDefault="00647FC4">
      <w:pPr>
        <w:rPr>
          <w:sz w:val="24"/>
          <w:szCs w:val="24"/>
        </w:rPr>
      </w:pPr>
      <w:bookmarkStart w:id="0" w:name="_GoBack"/>
      <w:bookmarkEnd w:id="0"/>
    </w:p>
    <w:p w:rsidR="00F3140F" w:rsidRPr="00730902" w:rsidRDefault="00AB65B6" w:rsidP="00AB65B6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730902">
        <w:rPr>
          <w:b/>
          <w:caps/>
          <w:sz w:val="24"/>
          <w:szCs w:val="24"/>
        </w:rPr>
        <w:t>Currently approved research projects</w:t>
      </w:r>
    </w:p>
    <w:p w:rsidR="00AB65B6" w:rsidRPr="00730902" w:rsidRDefault="005F4638" w:rsidP="00AB65B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 xml:space="preserve">Projects that involve </w:t>
      </w:r>
      <w:r w:rsidR="00834F96" w:rsidRPr="00730902">
        <w:rPr>
          <w:b/>
          <w:sz w:val="24"/>
          <w:szCs w:val="24"/>
        </w:rPr>
        <w:t>in-person</w:t>
      </w:r>
      <w:r w:rsidRPr="00730902">
        <w:rPr>
          <w:sz w:val="24"/>
          <w:szCs w:val="24"/>
        </w:rPr>
        <w:t xml:space="preserve"> research activities</w:t>
      </w:r>
    </w:p>
    <w:p w:rsidR="005F4638" w:rsidRPr="00730902" w:rsidRDefault="005F4638" w:rsidP="005F463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 xml:space="preserve">If research is critical and must continue as approved apply for an </w:t>
      </w:r>
      <w:r w:rsidRPr="00730902">
        <w:rPr>
          <w:b/>
          <w:color w:val="FF0000"/>
          <w:sz w:val="24"/>
          <w:szCs w:val="24"/>
        </w:rPr>
        <w:t>EXEMPTION</w:t>
      </w:r>
      <w:r w:rsidRPr="00730902">
        <w:rPr>
          <w:sz w:val="24"/>
          <w:szCs w:val="24"/>
        </w:rPr>
        <w:t xml:space="preserve"> to continue</w:t>
      </w:r>
    </w:p>
    <w:p w:rsidR="005F4638" w:rsidRPr="00730902" w:rsidRDefault="005F4638" w:rsidP="005F463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 xml:space="preserve">If research is not critical </w:t>
      </w:r>
      <w:r w:rsidR="00647FC4" w:rsidRPr="00730902">
        <w:rPr>
          <w:sz w:val="24"/>
          <w:szCs w:val="24"/>
        </w:rPr>
        <w:t>and</w:t>
      </w:r>
      <w:r w:rsidRPr="00730902">
        <w:rPr>
          <w:sz w:val="24"/>
          <w:szCs w:val="24"/>
        </w:rPr>
        <w:t xml:space="preserve"> cannot be conducted without </w:t>
      </w:r>
      <w:r w:rsidR="002C7847" w:rsidRPr="00730902">
        <w:rPr>
          <w:sz w:val="24"/>
          <w:szCs w:val="24"/>
        </w:rPr>
        <w:t>in-person</w:t>
      </w:r>
      <w:r w:rsidRPr="00730902">
        <w:rPr>
          <w:sz w:val="24"/>
          <w:szCs w:val="24"/>
        </w:rPr>
        <w:t xml:space="preserve"> interactions, </w:t>
      </w:r>
      <w:r w:rsidRPr="00730902">
        <w:rPr>
          <w:b/>
          <w:color w:val="FF0000"/>
          <w:sz w:val="24"/>
          <w:szCs w:val="24"/>
        </w:rPr>
        <w:t>POSTPONE</w:t>
      </w:r>
      <w:r w:rsidRPr="00730902">
        <w:rPr>
          <w:sz w:val="24"/>
          <w:szCs w:val="24"/>
        </w:rPr>
        <w:t xml:space="preserve"> your research until the curtailment has been lifted. </w:t>
      </w:r>
    </w:p>
    <w:p w:rsidR="005F4638" w:rsidRPr="00730902" w:rsidRDefault="005F4638" w:rsidP="005F463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 xml:space="preserve">If research can be modified to allow it to continue virtually, </w:t>
      </w:r>
      <w:r w:rsidRPr="00730902">
        <w:rPr>
          <w:b/>
          <w:color w:val="FF0000"/>
          <w:sz w:val="24"/>
          <w:szCs w:val="24"/>
        </w:rPr>
        <w:t>SUBMIT</w:t>
      </w:r>
      <w:r w:rsidRPr="00730902">
        <w:rPr>
          <w:sz w:val="24"/>
          <w:szCs w:val="24"/>
        </w:rPr>
        <w:t xml:space="preserve"> a plan to modify your research to the REB for approval.  This might include:</w:t>
      </w:r>
    </w:p>
    <w:p w:rsidR="005F4638" w:rsidRPr="00730902" w:rsidRDefault="005F4638" w:rsidP="005F4638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>Study visits conducted via telephone, videoconference or telehealth</w:t>
      </w:r>
    </w:p>
    <w:p w:rsidR="005F4638" w:rsidRPr="00730902" w:rsidRDefault="005F4638" w:rsidP="005F4638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>Shipment of study drug/supplies to participants homes</w:t>
      </w:r>
    </w:p>
    <w:p w:rsidR="005F4638" w:rsidRPr="00730902" w:rsidRDefault="005F4638" w:rsidP="005F4638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>Local laboratory testing</w:t>
      </w:r>
    </w:p>
    <w:p w:rsidR="005F4638" w:rsidRPr="00730902" w:rsidRDefault="005F4638" w:rsidP="005F4638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>Online surveys/questionnaires</w:t>
      </w:r>
    </w:p>
    <w:p w:rsidR="005F4638" w:rsidRPr="00730902" w:rsidRDefault="005F4638" w:rsidP="005F4638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>Electronic consent for recruitment</w:t>
      </w:r>
    </w:p>
    <w:p w:rsidR="005F4638" w:rsidRPr="00730902" w:rsidRDefault="005F4638" w:rsidP="005F4638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 xml:space="preserve">Details of how research staff can work remotely (access to hospital servers </w:t>
      </w:r>
      <w:proofErr w:type="spellStart"/>
      <w:r w:rsidRPr="00730902">
        <w:rPr>
          <w:sz w:val="24"/>
          <w:szCs w:val="24"/>
        </w:rPr>
        <w:t>etc</w:t>
      </w:r>
      <w:proofErr w:type="spellEnd"/>
      <w:r w:rsidRPr="00730902">
        <w:rPr>
          <w:sz w:val="24"/>
          <w:szCs w:val="24"/>
        </w:rPr>
        <w:t xml:space="preserve">) </w:t>
      </w:r>
    </w:p>
    <w:p w:rsidR="0024734E" w:rsidRPr="00730902" w:rsidRDefault="0024734E" w:rsidP="005F4638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>Changes to recruitment</w:t>
      </w:r>
      <w:r w:rsidR="00E60ED0" w:rsidRPr="00730902">
        <w:rPr>
          <w:sz w:val="24"/>
          <w:szCs w:val="24"/>
        </w:rPr>
        <w:t xml:space="preserve"> procedures </w:t>
      </w:r>
      <w:proofErr w:type="spellStart"/>
      <w:r w:rsidR="00E60ED0" w:rsidRPr="00730902">
        <w:rPr>
          <w:sz w:val="24"/>
          <w:szCs w:val="24"/>
        </w:rPr>
        <w:t>ie</w:t>
      </w:r>
      <w:proofErr w:type="spellEnd"/>
      <w:r w:rsidR="00E60ED0" w:rsidRPr="00730902">
        <w:rPr>
          <w:sz w:val="24"/>
          <w:szCs w:val="24"/>
        </w:rPr>
        <w:t xml:space="preserve">. With no in-hospital </w:t>
      </w:r>
      <w:proofErr w:type="gramStart"/>
      <w:r w:rsidR="00E60ED0" w:rsidRPr="00730902">
        <w:rPr>
          <w:sz w:val="24"/>
          <w:szCs w:val="24"/>
        </w:rPr>
        <w:t>recruitment,  PIs</w:t>
      </w:r>
      <w:proofErr w:type="gramEnd"/>
      <w:r w:rsidR="00E60ED0" w:rsidRPr="00730902">
        <w:rPr>
          <w:sz w:val="24"/>
          <w:szCs w:val="24"/>
        </w:rPr>
        <w:t xml:space="preserve"> can send information letters to their eligible patients indicating that research assistants will be following up regarding research participation. </w:t>
      </w:r>
    </w:p>
    <w:p w:rsidR="00140684" w:rsidRPr="00730902" w:rsidRDefault="009F7E90" w:rsidP="000B704F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 xml:space="preserve">How will security and confidentiality </w:t>
      </w:r>
      <w:r w:rsidR="000B704F" w:rsidRPr="00730902">
        <w:rPr>
          <w:sz w:val="24"/>
          <w:szCs w:val="24"/>
        </w:rPr>
        <w:t xml:space="preserve">of data </w:t>
      </w:r>
      <w:r w:rsidRPr="00730902">
        <w:rPr>
          <w:sz w:val="24"/>
          <w:szCs w:val="24"/>
        </w:rPr>
        <w:t xml:space="preserve">be protected </w:t>
      </w:r>
    </w:p>
    <w:p w:rsidR="005F4638" w:rsidRPr="00730902" w:rsidRDefault="005F4638" w:rsidP="005F463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 xml:space="preserve">Projects that do </w:t>
      </w:r>
      <w:r w:rsidRPr="00730902">
        <w:rPr>
          <w:b/>
          <w:sz w:val="24"/>
          <w:szCs w:val="24"/>
        </w:rPr>
        <w:t>NOT</w:t>
      </w:r>
      <w:r w:rsidRPr="00730902">
        <w:rPr>
          <w:sz w:val="24"/>
          <w:szCs w:val="24"/>
        </w:rPr>
        <w:t xml:space="preserve"> involve </w:t>
      </w:r>
      <w:r w:rsidR="002C7847" w:rsidRPr="00730902">
        <w:rPr>
          <w:sz w:val="24"/>
          <w:szCs w:val="24"/>
        </w:rPr>
        <w:t>in-person</w:t>
      </w:r>
      <w:r w:rsidRPr="00730902">
        <w:rPr>
          <w:sz w:val="24"/>
          <w:szCs w:val="24"/>
        </w:rPr>
        <w:t xml:space="preserve"> research activities (and do not require on-site resources or require staff to be on-site) can </w:t>
      </w:r>
      <w:r w:rsidRPr="00730902">
        <w:rPr>
          <w:b/>
          <w:color w:val="FF0000"/>
          <w:sz w:val="24"/>
          <w:szCs w:val="24"/>
        </w:rPr>
        <w:t>CONTINUE</w:t>
      </w:r>
      <w:r w:rsidRPr="00730902">
        <w:rPr>
          <w:sz w:val="24"/>
          <w:szCs w:val="24"/>
        </w:rPr>
        <w:t xml:space="preserve"> as approved.</w:t>
      </w:r>
    </w:p>
    <w:p w:rsidR="005F4638" w:rsidRPr="00730902" w:rsidRDefault="005F4638" w:rsidP="005F4638">
      <w:pPr>
        <w:pStyle w:val="ListParagraph"/>
        <w:ind w:left="2880"/>
        <w:rPr>
          <w:sz w:val="24"/>
          <w:szCs w:val="24"/>
        </w:rPr>
      </w:pPr>
    </w:p>
    <w:p w:rsidR="005F4638" w:rsidRPr="00730902" w:rsidRDefault="005F4638" w:rsidP="005F4638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730902">
        <w:rPr>
          <w:b/>
          <w:caps/>
          <w:sz w:val="24"/>
          <w:szCs w:val="24"/>
        </w:rPr>
        <w:t>New research projects</w:t>
      </w:r>
      <w:r w:rsidR="00647FC4" w:rsidRPr="00730902">
        <w:rPr>
          <w:b/>
          <w:caps/>
          <w:sz w:val="24"/>
          <w:szCs w:val="24"/>
        </w:rPr>
        <w:t xml:space="preserve"> that will be reviewed and approved by the REB</w:t>
      </w:r>
    </w:p>
    <w:p w:rsidR="00647FC4" w:rsidRPr="00730902" w:rsidRDefault="00647FC4" w:rsidP="00647FC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>COVID related projects that have received an exemption</w:t>
      </w:r>
    </w:p>
    <w:p w:rsidR="00647FC4" w:rsidRPr="00730902" w:rsidRDefault="00647FC4" w:rsidP="00647FC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>Critical in-person research projects that have received an exemption</w:t>
      </w:r>
    </w:p>
    <w:p w:rsidR="00647FC4" w:rsidRPr="00730902" w:rsidRDefault="00647FC4" w:rsidP="00647FC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 xml:space="preserve">Research projects that do not involve </w:t>
      </w:r>
      <w:r w:rsidR="002C7847" w:rsidRPr="00730902">
        <w:rPr>
          <w:sz w:val="24"/>
          <w:szCs w:val="24"/>
        </w:rPr>
        <w:t>in-person</w:t>
      </w:r>
      <w:r w:rsidRPr="00730902">
        <w:rPr>
          <w:sz w:val="24"/>
          <w:szCs w:val="24"/>
        </w:rPr>
        <w:t xml:space="preserve"> interactions and can be conducted remotely</w:t>
      </w:r>
    </w:p>
    <w:p w:rsidR="00647FC4" w:rsidRDefault="00647FC4" w:rsidP="00647FC4">
      <w:pPr>
        <w:ind w:left="1080"/>
        <w:rPr>
          <w:sz w:val="24"/>
          <w:szCs w:val="24"/>
        </w:rPr>
      </w:pPr>
      <w:r w:rsidRPr="00730902">
        <w:rPr>
          <w:sz w:val="24"/>
          <w:szCs w:val="24"/>
        </w:rPr>
        <w:lastRenderedPageBreak/>
        <w:t xml:space="preserve">All other research submitted will be reviewed but will receive a conditional approval from the REB.  Once the curtailment has been lifted, these projects will receive a full approval to begin.  </w:t>
      </w:r>
    </w:p>
    <w:p w:rsidR="00DF2115" w:rsidRPr="00730902" w:rsidRDefault="00DF2115" w:rsidP="00647FC4">
      <w:pPr>
        <w:ind w:left="1080"/>
        <w:rPr>
          <w:sz w:val="24"/>
          <w:szCs w:val="24"/>
        </w:rPr>
      </w:pPr>
    </w:p>
    <w:p w:rsidR="00647FC4" w:rsidRPr="00730902" w:rsidRDefault="00C42031" w:rsidP="00C4203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30902">
        <w:rPr>
          <w:b/>
          <w:sz w:val="24"/>
          <w:szCs w:val="24"/>
        </w:rPr>
        <w:t>POST APPROVAL ACTIVITIES</w:t>
      </w:r>
    </w:p>
    <w:p w:rsidR="002C7847" w:rsidRPr="00730902" w:rsidRDefault="002C7847" w:rsidP="002C7847">
      <w:pPr>
        <w:pStyle w:val="ListParagraph"/>
        <w:rPr>
          <w:sz w:val="24"/>
          <w:szCs w:val="24"/>
        </w:rPr>
      </w:pPr>
      <w:r w:rsidRPr="00730902">
        <w:rPr>
          <w:sz w:val="24"/>
          <w:szCs w:val="24"/>
        </w:rPr>
        <w:t xml:space="preserve">The REB will be reviewing PAA’s as usual but it is assumed that your research will adhere to one of the conditions set out in section 1.  </w:t>
      </w:r>
    </w:p>
    <w:p w:rsidR="00C42031" w:rsidRPr="00730902" w:rsidRDefault="00C42031" w:rsidP="00C4203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 xml:space="preserve">Annual Renewals </w:t>
      </w:r>
      <w:r w:rsidR="002C7847" w:rsidRPr="00730902">
        <w:rPr>
          <w:sz w:val="24"/>
          <w:szCs w:val="24"/>
        </w:rPr>
        <w:t>–</w:t>
      </w:r>
      <w:r w:rsidRPr="00730902">
        <w:rPr>
          <w:sz w:val="24"/>
          <w:szCs w:val="24"/>
        </w:rPr>
        <w:t xml:space="preserve"> </w:t>
      </w:r>
      <w:r w:rsidR="002C7847" w:rsidRPr="00730902">
        <w:rPr>
          <w:sz w:val="24"/>
          <w:szCs w:val="24"/>
        </w:rPr>
        <w:t xml:space="preserve">please indicate on the PAA coversheet whether your research is continuing or paused for COVID.  Renewals will be processed as usual.  </w:t>
      </w:r>
    </w:p>
    <w:p w:rsidR="002C7847" w:rsidRPr="00730902" w:rsidRDefault="002C7847" w:rsidP="00C4203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>Amendments</w:t>
      </w:r>
    </w:p>
    <w:p w:rsidR="002C7847" w:rsidRPr="00730902" w:rsidRDefault="002C7847" w:rsidP="002C784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>Administrative amendments (adding team members, funding) will be reviewed and approved as normal</w:t>
      </w:r>
    </w:p>
    <w:p w:rsidR="002C7847" w:rsidRPr="00730902" w:rsidRDefault="002C7847" w:rsidP="002C784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 xml:space="preserve">Amendments to modify your protocol to add COVID research will require an exemption.  </w:t>
      </w:r>
    </w:p>
    <w:p w:rsidR="002C7847" w:rsidRPr="00730902" w:rsidRDefault="002C7847" w:rsidP="002C784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>Amendments to modify your protocol to change from in-person to virtual visits will be reviewed as usual and will not require an exemption</w:t>
      </w:r>
    </w:p>
    <w:p w:rsidR="002C7847" w:rsidRPr="00730902" w:rsidRDefault="002C7847" w:rsidP="002C784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>Request for acknowledgement (RFA)</w:t>
      </w:r>
    </w:p>
    <w:p w:rsidR="006D5AEF" w:rsidRDefault="002C7847" w:rsidP="006D5AE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30902">
        <w:rPr>
          <w:sz w:val="24"/>
          <w:szCs w:val="24"/>
        </w:rPr>
        <w:t xml:space="preserve">Protocol deviations must be submitted as per usual REB requirements </w:t>
      </w:r>
      <w:r w:rsidR="006D5AEF" w:rsidRPr="00730902">
        <w:rPr>
          <w:sz w:val="24"/>
          <w:szCs w:val="24"/>
        </w:rPr>
        <w:t xml:space="preserve">(only when participant safety </w:t>
      </w:r>
      <w:r w:rsidR="00DF2115">
        <w:rPr>
          <w:sz w:val="24"/>
          <w:szCs w:val="24"/>
        </w:rPr>
        <w:t xml:space="preserve">or study integrity </w:t>
      </w:r>
      <w:r w:rsidR="006D5AEF" w:rsidRPr="00730902">
        <w:rPr>
          <w:sz w:val="24"/>
          <w:szCs w:val="24"/>
        </w:rPr>
        <w:t>is affected).  Multiple deviations that do not impact safety but are required to be submitted by the sponsor can be sub</w:t>
      </w:r>
      <w:r w:rsidR="00DF2115">
        <w:rPr>
          <w:sz w:val="24"/>
          <w:szCs w:val="24"/>
        </w:rPr>
        <w:t xml:space="preserve">mitted in one summary document. </w:t>
      </w:r>
    </w:p>
    <w:p w:rsidR="00DF2115" w:rsidRPr="00730902" w:rsidRDefault="00DF2115" w:rsidP="006D5AE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COVID documentation that outlines temporary measures for conducting your study during the pandemic should be uploaded and explained on the PAA coversheet.  </w:t>
      </w:r>
    </w:p>
    <w:p w:rsidR="005F4638" w:rsidRPr="00730902" w:rsidRDefault="005F4638" w:rsidP="005F4638">
      <w:pPr>
        <w:rPr>
          <w:sz w:val="24"/>
          <w:szCs w:val="24"/>
        </w:rPr>
      </w:pPr>
    </w:p>
    <w:p w:rsidR="005F4638" w:rsidRPr="00730902" w:rsidRDefault="005F4638" w:rsidP="005F4638">
      <w:pPr>
        <w:rPr>
          <w:sz w:val="24"/>
          <w:szCs w:val="24"/>
        </w:rPr>
      </w:pPr>
    </w:p>
    <w:p w:rsidR="005F4638" w:rsidRPr="00730902" w:rsidRDefault="005F4638" w:rsidP="005F4638">
      <w:pPr>
        <w:rPr>
          <w:sz w:val="24"/>
          <w:szCs w:val="24"/>
        </w:rPr>
      </w:pPr>
    </w:p>
    <w:p w:rsidR="00F3140F" w:rsidRPr="00730902" w:rsidRDefault="00F3140F">
      <w:pPr>
        <w:rPr>
          <w:sz w:val="24"/>
          <w:szCs w:val="24"/>
        </w:rPr>
      </w:pPr>
    </w:p>
    <w:sectPr w:rsidR="00F3140F" w:rsidRPr="00730902" w:rsidSect="00DF2115">
      <w:footerReference w:type="defaul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89B" w:rsidRDefault="0082289B" w:rsidP="00DF2115">
      <w:pPr>
        <w:spacing w:after="0" w:line="240" w:lineRule="auto"/>
      </w:pPr>
      <w:r>
        <w:separator/>
      </w:r>
    </w:p>
  </w:endnote>
  <w:endnote w:type="continuationSeparator" w:id="0">
    <w:p w:rsidR="0082289B" w:rsidRDefault="0082289B" w:rsidP="00DF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3801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34F6" w:rsidRDefault="009834F6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4F6" w:rsidRDefault="00983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89B" w:rsidRDefault="0082289B" w:rsidP="00DF2115">
      <w:pPr>
        <w:spacing w:after="0" w:line="240" w:lineRule="auto"/>
      </w:pPr>
      <w:r>
        <w:separator/>
      </w:r>
    </w:p>
  </w:footnote>
  <w:footnote w:type="continuationSeparator" w:id="0">
    <w:p w:rsidR="0082289B" w:rsidRDefault="0082289B" w:rsidP="00DF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2462E"/>
    <w:multiLevelType w:val="hybridMultilevel"/>
    <w:tmpl w:val="A5FEA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0F"/>
    <w:rsid w:val="000B704F"/>
    <w:rsid w:val="00140684"/>
    <w:rsid w:val="0024734E"/>
    <w:rsid w:val="002C7847"/>
    <w:rsid w:val="005632CF"/>
    <w:rsid w:val="005A48ED"/>
    <w:rsid w:val="005F4638"/>
    <w:rsid w:val="00647FC4"/>
    <w:rsid w:val="006D5AEF"/>
    <w:rsid w:val="00730902"/>
    <w:rsid w:val="0082289B"/>
    <w:rsid w:val="00834F96"/>
    <w:rsid w:val="009834F6"/>
    <w:rsid w:val="009F7E90"/>
    <w:rsid w:val="00AB65B6"/>
    <w:rsid w:val="00BC05B5"/>
    <w:rsid w:val="00C30551"/>
    <w:rsid w:val="00C42031"/>
    <w:rsid w:val="00DF2115"/>
    <w:rsid w:val="00E60ED0"/>
    <w:rsid w:val="00F3140F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E44686E"/>
  <w15:chartTrackingRefBased/>
  <w15:docId w15:val="{D02A7178-A155-4B84-B9B7-1B8DDC0A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140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314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65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115"/>
  </w:style>
  <w:style w:type="paragraph" w:styleId="Footer">
    <w:name w:val="footer"/>
    <w:basedOn w:val="Normal"/>
    <w:link w:val="FooterChar"/>
    <w:uiPriority w:val="99"/>
    <w:unhideWhenUsed/>
    <w:rsid w:val="00DF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6E6E6"/>
            <w:right w:val="none" w:sz="0" w:space="0" w:color="auto"/>
          </w:divBdr>
        </w:div>
        <w:div w:id="10052785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2" w:color="E6E6E6"/>
            <w:bottom w:val="single" w:sz="6" w:space="12" w:color="E6E6E6"/>
            <w:right w:val="single" w:sz="6" w:space="12" w:color="E6E6E6"/>
          </w:divBdr>
        </w:div>
      </w:divsChild>
    </w:div>
    <w:div w:id="128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6E6E6"/>
            <w:right w:val="none" w:sz="0" w:space="0" w:color="auto"/>
          </w:divBdr>
        </w:div>
        <w:div w:id="772892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2" w:color="E6E6E6"/>
            <w:bottom w:val="single" w:sz="6" w:space="12" w:color="E6E6E6"/>
            <w:right w:val="single" w:sz="6" w:space="12" w:color="E6E6E6"/>
          </w:divBdr>
        </w:div>
      </w:divsChild>
    </w:div>
    <w:div w:id="1571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6E6E6"/>
            <w:right w:val="none" w:sz="0" w:space="0" w:color="auto"/>
          </w:divBdr>
        </w:div>
        <w:div w:id="1216699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2" w:color="E6E6E6"/>
            <w:bottom w:val="single" w:sz="6" w:space="12" w:color="E6E6E6"/>
            <w:right w:val="single" w:sz="6" w:space="12" w:color="E6E6E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ise.ubc.ca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sa.ca/researchethics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reb@bcchr.ubc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8DBFC86CD44C5C4DB39877107FDA46FD" ma:contentTypeVersion="16" ma:contentTypeDescription="Create a new document." ma:contentTypeScope="" ma:versionID="e823c938157a736568cf61a74e4145b9">
  <xsd:schema xmlns:xsd="http://www.w3.org/2001/XMLSchema" xmlns:xs="http://www.w3.org/2001/XMLSchema" xmlns:p="http://schemas.microsoft.com/office/2006/metadata/properties" xmlns:ns2="bb0eaabd-8237-4495-bdf5-f324c842ead6" xmlns:ns3="4de64c37-ebdf-406a-9f1b-af099cf715f4" targetNamespace="http://schemas.microsoft.com/office/2006/metadata/properties" ma:root="true" ma:fieldsID="d9548f7b2c4ba6d091029a0a8e158a57" ns2:_="" ns3:_="">
    <xsd:import namespace="bb0eaabd-8237-4495-bdf5-f324c842ead6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PHSADOC-97-118</_dlc_DocId>
    <_dlc_DocIdUrl xmlns="bb0eaabd-8237-4495-bdf5-f324c842ead6">
      <Url>https://ewiauthor.phsa.ca/research/_layouts/15/DocIdRedir.aspx?ID=PHSADOC-97-118</Url>
      <Description>PHSADOC-97-118</Description>
    </_dlc_DocIdUrl>
  </documentManagement>
</p:properties>
</file>

<file path=customXml/itemProps1.xml><?xml version="1.0" encoding="utf-8"?>
<ds:datastoreItem xmlns:ds="http://schemas.openxmlformats.org/officeDocument/2006/customXml" ds:itemID="{1F227D39-D5B5-4DB4-B127-670052188E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8E8BD-42F3-48BB-9804-D5342508CEBE}"/>
</file>

<file path=customXml/itemProps3.xml><?xml version="1.0" encoding="utf-8"?>
<ds:datastoreItem xmlns:ds="http://schemas.openxmlformats.org/officeDocument/2006/customXml" ds:itemID="{2F22F183-B89A-4AD8-9DFB-4471A6B27D38}"/>
</file>

<file path=customXml/itemProps4.xml><?xml version="1.0" encoding="utf-8"?>
<ds:datastoreItem xmlns:ds="http://schemas.openxmlformats.org/officeDocument/2006/customXml" ds:itemID="{B131F5B4-7D19-44E5-AAE4-0E20189B35F5}"/>
</file>

<file path=customXml/itemProps5.xml><?xml version="1.0" encoding="utf-8"?>
<ds:datastoreItem xmlns:ds="http://schemas.openxmlformats.org/officeDocument/2006/customXml" ds:itemID="{31C03ED4-C150-46E5-A12E-9869EA157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Prasad</dc:creator>
  <cp:keywords/>
  <dc:description/>
  <cp:lastModifiedBy>Jennie Prasad</cp:lastModifiedBy>
  <cp:revision>5</cp:revision>
  <dcterms:created xsi:type="dcterms:W3CDTF">2020-04-28T16:48:00Z</dcterms:created>
  <dcterms:modified xsi:type="dcterms:W3CDTF">2020-05-04T22:01:00Z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0x01010027C4DD6E2671BA48BC4E45ABF1AFDAAB008DBFC86CD44C5C4DB39877107FDA46FD</vt:lpwstr>
  </property>
  <property fmtid="{D5CDD505-2E9C-101B-9397-08002B2CF9AE}" pid="3" name="_dlc_DocIdItemGuid">
    <vt:lpwstr>5419f98f-0d31-4327-971f-891039fd6b60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