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jc w:val="center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780"/>
      </w:tblGrid>
      <w:tr w:rsidR="00DF2115" w:rsidRPr="00DF2115" w:rsidTr="00705A67">
        <w:trPr>
          <w:cantSplit/>
          <w:trHeight w:val="1970"/>
          <w:jc w:val="center"/>
        </w:trPr>
        <w:tc>
          <w:tcPr>
            <w:tcW w:w="6480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</w:tcBorders>
            <w:shd w:val="clear" w:color="auto" w:fill="auto"/>
          </w:tcPr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2"/>
                <w:szCs w:val="12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Arial" w:eastAsia="Times New Roman" w:hAnsi="Arial" w:cs="Times New Roman"/>
                <w:noProof/>
                <w:sz w:val="12"/>
                <w:szCs w:val="20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733425"/>
                  <wp:effectExtent l="0" t="0" r="0" b="9525"/>
                  <wp:docPr id="12" name="Picture 12" descr="ubc col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ubc colou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8001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76450" cy="7524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115" w:rsidRPr="00DF2115" w:rsidRDefault="00DF2115" w:rsidP="00DF2115">
            <w:pPr>
              <w:tabs>
                <w:tab w:val="left" w:pos="20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2"/>
                <w:szCs w:val="12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         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ab/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textAlignment w:val="baseline"/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>University of British Colum</w:t>
            </w:r>
            <w:smartTag w:uri="urn:schemas-microsoft-com:office:smarttags" w:element="PersonName">
              <w:r w:rsidRPr="00DF2115">
                <w:rPr>
                  <w:rFonts w:ascii="Calibri" w:eastAsia="Times New Roman" w:hAnsi="Calibri" w:cs="Times New Roman"/>
                  <w:b/>
                  <w:noProof/>
                  <w:color w:val="000080"/>
                  <w:sz w:val="18"/>
                  <w:szCs w:val="18"/>
                </w:rPr>
                <w:t>b</w:t>
              </w:r>
            </w:smartTag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 xml:space="preserve">ia – Children’s &amp; Women’s Research Ethics Board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textAlignment w:val="baseline"/>
              <w:rPr>
                <w:rFonts w:ascii="Palatino" w:eastAsia="Times New Roman" w:hAnsi="Palatino" w:cs="Times New Roman"/>
                <w:b/>
                <w:noProof/>
                <w:sz w:val="14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2F5496"/>
              <w:bottom w:val="single" w:sz="12" w:space="0" w:color="2F5496"/>
              <w:right w:val="single" w:sz="12" w:space="0" w:color="2F5496"/>
            </w:tcBorders>
            <w:shd w:val="clear" w:color="auto" w:fill="auto"/>
            <w:vAlign w:val="center"/>
          </w:tcPr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>UBC C&amp;W Research Ethics Board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Room A2-141A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950 West 28th Avenue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Vancouver, B.C.  V5Z 4H4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Tel: (604) 875-3103   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Email:  </w:t>
            </w:r>
            <w:hyperlink r:id="rId11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</w:rPr>
                <w:t>cwreb@bcchr.ubc.ca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Website: </w:t>
            </w:r>
            <w:hyperlink r:id="rId12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  <w:lang w:val="en-CA"/>
                </w:rPr>
                <w:t>www.phsa.ca/researchethics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6"/>
                <w:szCs w:val="20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RISe: </w:t>
            </w:r>
            <w:hyperlink r:id="rId13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</w:rPr>
                <w:t>https://rise.ubc.ca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</w:t>
            </w:r>
          </w:p>
        </w:tc>
      </w:tr>
    </w:tbl>
    <w:p w:rsidR="00DF2115" w:rsidRDefault="00DF2115" w:rsidP="00647FC4">
      <w:pPr>
        <w:jc w:val="center"/>
        <w:rPr>
          <w:b/>
          <w:sz w:val="24"/>
          <w:szCs w:val="24"/>
          <w:u w:val="single"/>
        </w:rPr>
      </w:pPr>
    </w:p>
    <w:p w:rsidR="00DA2A51" w:rsidRPr="00DF2115" w:rsidRDefault="00647FC4" w:rsidP="00647FC4">
      <w:pPr>
        <w:jc w:val="center"/>
        <w:rPr>
          <w:b/>
          <w:caps/>
          <w:sz w:val="28"/>
          <w:szCs w:val="24"/>
          <w:u w:val="single"/>
        </w:rPr>
      </w:pPr>
      <w:r w:rsidRPr="00DF2115">
        <w:rPr>
          <w:b/>
          <w:caps/>
          <w:sz w:val="28"/>
          <w:szCs w:val="24"/>
          <w:u w:val="single"/>
        </w:rPr>
        <w:t xml:space="preserve">C&amp;W </w:t>
      </w:r>
      <w:r w:rsidR="005F4638" w:rsidRPr="00DF2115">
        <w:rPr>
          <w:b/>
          <w:caps/>
          <w:sz w:val="28"/>
          <w:szCs w:val="24"/>
          <w:u w:val="single"/>
        </w:rPr>
        <w:t xml:space="preserve">Research </w:t>
      </w:r>
      <w:r w:rsidR="009834F6">
        <w:rPr>
          <w:b/>
          <w:caps/>
          <w:sz w:val="28"/>
          <w:szCs w:val="24"/>
          <w:u w:val="single"/>
        </w:rPr>
        <w:t xml:space="preserve">GUIDANCE </w:t>
      </w:r>
      <w:r w:rsidR="003E199E">
        <w:rPr>
          <w:b/>
          <w:caps/>
          <w:sz w:val="28"/>
          <w:szCs w:val="24"/>
          <w:u w:val="single"/>
        </w:rPr>
        <w:t>-</w:t>
      </w:r>
      <w:bookmarkStart w:id="0" w:name="_GoBack"/>
      <w:bookmarkEnd w:id="0"/>
      <w:r w:rsidR="005F4638" w:rsidRPr="00DF2115">
        <w:rPr>
          <w:b/>
          <w:caps/>
          <w:sz w:val="28"/>
          <w:szCs w:val="24"/>
          <w:u w:val="single"/>
        </w:rPr>
        <w:t xml:space="preserve"> </w:t>
      </w:r>
      <w:r w:rsidR="007A46CB">
        <w:rPr>
          <w:b/>
          <w:caps/>
          <w:sz w:val="28"/>
          <w:szCs w:val="24"/>
          <w:u w:val="single"/>
        </w:rPr>
        <w:t>RESUMPTION OF RESEARCH</w:t>
      </w:r>
    </w:p>
    <w:p w:rsidR="00647FC4" w:rsidRPr="00730902" w:rsidRDefault="00647FC4">
      <w:pPr>
        <w:rPr>
          <w:sz w:val="24"/>
          <w:szCs w:val="24"/>
        </w:rPr>
      </w:pPr>
    </w:p>
    <w:p w:rsidR="00F3140F" w:rsidRPr="00730902" w:rsidRDefault="00AB65B6" w:rsidP="00AB65B6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730902">
        <w:rPr>
          <w:b/>
          <w:caps/>
          <w:sz w:val="24"/>
          <w:szCs w:val="24"/>
        </w:rPr>
        <w:t>Currently approved research projects</w:t>
      </w:r>
    </w:p>
    <w:p w:rsidR="00AB65B6" w:rsidRPr="00752417" w:rsidRDefault="005F4638" w:rsidP="00AB65B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752417">
        <w:rPr>
          <w:b/>
          <w:sz w:val="24"/>
          <w:szCs w:val="24"/>
        </w:rPr>
        <w:t xml:space="preserve">Projects that </w:t>
      </w:r>
      <w:r w:rsidR="007A46CB" w:rsidRPr="00752417">
        <w:rPr>
          <w:b/>
          <w:sz w:val="24"/>
          <w:szCs w:val="24"/>
        </w:rPr>
        <w:t>have been halted due to COVID-19</w:t>
      </w:r>
    </w:p>
    <w:p w:rsidR="007A46CB" w:rsidRDefault="005F4638" w:rsidP="005F46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If </w:t>
      </w:r>
      <w:r w:rsidR="007A46CB">
        <w:rPr>
          <w:sz w:val="24"/>
          <w:szCs w:val="24"/>
        </w:rPr>
        <w:t xml:space="preserve">your </w:t>
      </w:r>
      <w:r w:rsidRPr="00730902">
        <w:rPr>
          <w:sz w:val="24"/>
          <w:szCs w:val="24"/>
        </w:rPr>
        <w:t xml:space="preserve">research </w:t>
      </w:r>
      <w:r w:rsidR="007A46CB">
        <w:rPr>
          <w:sz w:val="24"/>
          <w:szCs w:val="24"/>
        </w:rPr>
        <w:t xml:space="preserve">was halted due to the curtailment but you </w:t>
      </w:r>
      <w:r w:rsidR="007A46CB" w:rsidRPr="007A46CB">
        <w:rPr>
          <w:b/>
          <w:sz w:val="24"/>
          <w:szCs w:val="24"/>
        </w:rPr>
        <w:t>did not notify</w:t>
      </w:r>
      <w:r w:rsidR="007A46CB">
        <w:rPr>
          <w:sz w:val="24"/>
          <w:szCs w:val="24"/>
        </w:rPr>
        <w:t xml:space="preserve"> the REB and you feel that you research meets the criteria for stage 1 (critical, on-site research), fill out</w:t>
      </w:r>
      <w:r w:rsidR="003E199E">
        <w:rPr>
          <w:sz w:val="24"/>
          <w:szCs w:val="24"/>
        </w:rPr>
        <w:t xml:space="preserve"> the</w:t>
      </w:r>
      <w:r w:rsidR="007A46CB">
        <w:rPr>
          <w:sz w:val="24"/>
          <w:szCs w:val="24"/>
        </w:rPr>
        <w:t xml:space="preserve"> </w:t>
      </w:r>
      <w:r w:rsidR="003E199E">
        <w:rPr>
          <w:sz w:val="24"/>
          <w:szCs w:val="24"/>
        </w:rPr>
        <w:fldChar w:fldCharType="begin"/>
      </w:r>
      <w:r w:rsidR="003E199E">
        <w:rPr>
          <w:sz w:val="24"/>
          <w:szCs w:val="24"/>
        </w:rPr>
        <w:instrText>HYPERLINK "https://rc.bcchr.ca/redcap/surveys/?s=EPNPMME777"</w:instrText>
      </w:r>
      <w:r w:rsidR="003E199E">
        <w:rPr>
          <w:sz w:val="24"/>
          <w:szCs w:val="24"/>
        </w:rPr>
      </w:r>
      <w:r w:rsidR="003E199E">
        <w:rPr>
          <w:sz w:val="24"/>
          <w:szCs w:val="24"/>
        </w:rPr>
        <w:fldChar w:fldCharType="separate"/>
      </w:r>
      <w:r w:rsidR="003E199E">
        <w:rPr>
          <w:rStyle w:val="Hyperlink"/>
          <w:sz w:val="24"/>
          <w:szCs w:val="24"/>
        </w:rPr>
        <w:t>intake form</w:t>
      </w:r>
      <w:r w:rsidR="003E199E">
        <w:rPr>
          <w:sz w:val="24"/>
          <w:szCs w:val="24"/>
        </w:rPr>
        <w:fldChar w:fldCharType="end"/>
      </w:r>
      <w:r w:rsidR="007A46CB">
        <w:rPr>
          <w:sz w:val="24"/>
          <w:szCs w:val="24"/>
        </w:rPr>
        <w:t xml:space="preserve">.  If approved you do </w:t>
      </w:r>
      <w:r w:rsidR="007A46CB" w:rsidRPr="007A46CB">
        <w:rPr>
          <w:b/>
          <w:sz w:val="24"/>
          <w:szCs w:val="24"/>
        </w:rPr>
        <w:t>NOT</w:t>
      </w:r>
      <w:r w:rsidR="007A46CB">
        <w:rPr>
          <w:sz w:val="24"/>
          <w:szCs w:val="24"/>
        </w:rPr>
        <w:t xml:space="preserve"> need to notify the REB</w:t>
      </w:r>
    </w:p>
    <w:p w:rsidR="005F4638" w:rsidRDefault="007A46CB" w:rsidP="007A46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your research was halted due to the curtailment but you do not meet the criteria for resumption (</w:t>
      </w:r>
      <w:r w:rsidR="005F4638" w:rsidRPr="007A46CB">
        <w:rPr>
          <w:sz w:val="24"/>
          <w:szCs w:val="24"/>
        </w:rPr>
        <w:t xml:space="preserve">not critical </w:t>
      </w:r>
      <w:r w:rsidR="00647FC4" w:rsidRPr="007A46CB">
        <w:rPr>
          <w:sz w:val="24"/>
          <w:szCs w:val="24"/>
        </w:rPr>
        <w:t>and</w:t>
      </w:r>
      <w:r w:rsidR="005F4638" w:rsidRPr="007A46CB">
        <w:rPr>
          <w:sz w:val="24"/>
          <w:szCs w:val="24"/>
        </w:rPr>
        <w:t xml:space="preserve"> cannot be conducted without </w:t>
      </w:r>
      <w:r w:rsidR="002C7847" w:rsidRPr="007A46CB">
        <w:rPr>
          <w:sz w:val="24"/>
          <w:szCs w:val="24"/>
        </w:rPr>
        <w:t>in-person</w:t>
      </w:r>
      <w:r w:rsidR="005F4638" w:rsidRPr="007A46CB">
        <w:rPr>
          <w:sz w:val="24"/>
          <w:szCs w:val="24"/>
        </w:rPr>
        <w:t xml:space="preserve"> interactions</w:t>
      </w:r>
      <w:r>
        <w:rPr>
          <w:sz w:val="24"/>
          <w:szCs w:val="24"/>
        </w:rPr>
        <w:t xml:space="preserve">), continue to </w:t>
      </w:r>
      <w:r w:rsidR="005F4638" w:rsidRPr="007A46CB">
        <w:rPr>
          <w:b/>
          <w:color w:val="FF0000"/>
          <w:sz w:val="24"/>
          <w:szCs w:val="24"/>
        </w:rPr>
        <w:t>POSTPONE</w:t>
      </w:r>
      <w:r w:rsidR="005F4638" w:rsidRPr="007A46CB">
        <w:rPr>
          <w:sz w:val="24"/>
          <w:szCs w:val="24"/>
        </w:rPr>
        <w:t xml:space="preserve"> your research until </w:t>
      </w:r>
      <w:r w:rsidR="003E199E">
        <w:rPr>
          <w:sz w:val="24"/>
          <w:szCs w:val="24"/>
        </w:rPr>
        <w:t>you qualify for resumption of your research.</w:t>
      </w:r>
    </w:p>
    <w:p w:rsidR="007A46CB" w:rsidRPr="00752417" w:rsidRDefault="007A46CB" w:rsidP="007A46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752417">
        <w:rPr>
          <w:b/>
          <w:sz w:val="24"/>
          <w:szCs w:val="24"/>
        </w:rPr>
        <w:t>Projects that were modified due to COVID-19</w:t>
      </w:r>
    </w:p>
    <w:p w:rsidR="00836DF1" w:rsidRPr="00836DF1" w:rsidRDefault="007A46CB" w:rsidP="00836D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modified your research to continue without in-person activities </w:t>
      </w:r>
      <w:r w:rsidR="00752417" w:rsidRPr="00836DF1">
        <w:rPr>
          <w:b/>
          <w:sz w:val="24"/>
          <w:szCs w:val="24"/>
        </w:rPr>
        <w:t xml:space="preserve">TEMPORARILY </w:t>
      </w:r>
      <w:r>
        <w:rPr>
          <w:sz w:val="24"/>
          <w:szCs w:val="24"/>
        </w:rPr>
        <w:t xml:space="preserve">and </w:t>
      </w:r>
      <w:r w:rsidR="00752417">
        <w:rPr>
          <w:sz w:val="24"/>
          <w:szCs w:val="24"/>
        </w:rPr>
        <w:t xml:space="preserve">wish to come back on site, fill out </w:t>
      </w:r>
      <w:r w:rsidR="003E199E">
        <w:rPr>
          <w:sz w:val="24"/>
          <w:szCs w:val="24"/>
        </w:rPr>
        <w:t xml:space="preserve">the </w:t>
      </w:r>
      <w:hyperlink r:id="rId14" w:history="1">
        <w:r w:rsidR="003E199E" w:rsidRPr="003E199E">
          <w:rPr>
            <w:rStyle w:val="Hyperlink"/>
            <w:sz w:val="24"/>
            <w:szCs w:val="24"/>
          </w:rPr>
          <w:t>intake form</w:t>
        </w:r>
      </w:hyperlink>
      <w:r w:rsidR="00752417">
        <w:rPr>
          <w:sz w:val="24"/>
          <w:szCs w:val="24"/>
        </w:rPr>
        <w:t xml:space="preserve"> and once approved, notify the REB that your research is back on-site and </w:t>
      </w:r>
      <w:r w:rsidR="00836DF1">
        <w:rPr>
          <w:sz w:val="24"/>
          <w:szCs w:val="24"/>
        </w:rPr>
        <w:t>will be conducted a</w:t>
      </w:r>
      <w:r w:rsidR="00752417">
        <w:rPr>
          <w:sz w:val="24"/>
          <w:szCs w:val="24"/>
        </w:rPr>
        <w:t xml:space="preserve">s </w:t>
      </w:r>
      <w:r w:rsidR="00836DF1">
        <w:rPr>
          <w:sz w:val="24"/>
          <w:szCs w:val="24"/>
        </w:rPr>
        <w:t xml:space="preserve">originally </w:t>
      </w:r>
      <w:r w:rsidR="00752417">
        <w:rPr>
          <w:sz w:val="24"/>
          <w:szCs w:val="24"/>
        </w:rPr>
        <w:t>approved</w:t>
      </w:r>
      <w:r w:rsidR="00836DF1">
        <w:rPr>
          <w:sz w:val="24"/>
          <w:szCs w:val="24"/>
        </w:rPr>
        <w:t>.  Otherwise, any changes resulting from the resumption of research will need to be outlined via an amendment in RISe (</w:t>
      </w:r>
      <w:proofErr w:type="spellStart"/>
      <w:r w:rsidR="00836DF1">
        <w:rPr>
          <w:sz w:val="24"/>
          <w:szCs w:val="24"/>
        </w:rPr>
        <w:t>ie</w:t>
      </w:r>
      <w:proofErr w:type="spellEnd"/>
      <w:r w:rsidR="00836DF1">
        <w:rPr>
          <w:sz w:val="24"/>
          <w:szCs w:val="24"/>
        </w:rPr>
        <w:t xml:space="preserve">. Changes to recruitment, consenting </w:t>
      </w:r>
      <w:proofErr w:type="spellStart"/>
      <w:r w:rsidR="00836DF1">
        <w:rPr>
          <w:sz w:val="24"/>
          <w:szCs w:val="24"/>
        </w:rPr>
        <w:t>etc</w:t>
      </w:r>
      <w:proofErr w:type="spellEnd"/>
      <w:r w:rsidR="00836DF1">
        <w:rPr>
          <w:sz w:val="24"/>
          <w:szCs w:val="24"/>
        </w:rPr>
        <w:t>)</w:t>
      </w:r>
    </w:p>
    <w:p w:rsidR="00752417" w:rsidRPr="007A46CB" w:rsidRDefault="00752417" w:rsidP="007A46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modified your research </w:t>
      </w:r>
      <w:r w:rsidRPr="00836DF1">
        <w:rPr>
          <w:b/>
          <w:sz w:val="24"/>
          <w:szCs w:val="24"/>
        </w:rPr>
        <w:t>PERMANENTLY</w:t>
      </w:r>
      <w:r>
        <w:rPr>
          <w:sz w:val="24"/>
          <w:szCs w:val="24"/>
        </w:rPr>
        <w:t xml:space="preserve"> to remove in-person activities then no action needs to be taken.  </w:t>
      </w:r>
    </w:p>
    <w:p w:rsidR="00752417" w:rsidRPr="00752417" w:rsidRDefault="005F4638" w:rsidP="005F463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752417">
        <w:rPr>
          <w:b/>
          <w:sz w:val="24"/>
          <w:szCs w:val="24"/>
        </w:rPr>
        <w:t xml:space="preserve">Projects that </w:t>
      </w:r>
      <w:r w:rsidR="00752417" w:rsidRPr="00752417">
        <w:rPr>
          <w:b/>
          <w:sz w:val="24"/>
          <w:szCs w:val="24"/>
        </w:rPr>
        <w:t xml:space="preserve">were not affected by COVID-19 </w:t>
      </w:r>
    </w:p>
    <w:p w:rsidR="00752417" w:rsidRPr="00752417" w:rsidRDefault="00752417" w:rsidP="0075241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52417">
        <w:rPr>
          <w:sz w:val="24"/>
          <w:szCs w:val="24"/>
        </w:rPr>
        <w:t xml:space="preserve">Projects that have never involved in-person research activities (and do not require on-site resources or require staff to be on-site) can </w:t>
      </w:r>
      <w:r w:rsidRPr="00752417">
        <w:rPr>
          <w:b/>
          <w:color w:val="FF0000"/>
          <w:sz w:val="24"/>
          <w:szCs w:val="24"/>
        </w:rPr>
        <w:t>CONTINUE</w:t>
      </w:r>
      <w:r w:rsidRPr="00752417">
        <w:rPr>
          <w:sz w:val="24"/>
          <w:szCs w:val="24"/>
        </w:rPr>
        <w:t xml:space="preserve"> as approved.</w:t>
      </w:r>
    </w:p>
    <w:p w:rsidR="00752417" w:rsidRDefault="00752417" w:rsidP="0075241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Projects that have received a CONDITIONAL APPROVAL from the REB</w:t>
      </w:r>
    </w:p>
    <w:p w:rsidR="00752417" w:rsidRDefault="00836DF1" w:rsidP="00836D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your project meets the criteria for resumption, complete the </w:t>
      </w:r>
      <w:hyperlink r:id="rId15" w:history="1">
        <w:r w:rsidR="003E199E" w:rsidRPr="003E199E">
          <w:rPr>
            <w:rStyle w:val="Hyperlink"/>
            <w:sz w:val="24"/>
            <w:szCs w:val="24"/>
          </w:rPr>
          <w:t>intake form</w:t>
        </w:r>
      </w:hyperlink>
      <w:r>
        <w:rPr>
          <w:sz w:val="24"/>
          <w:szCs w:val="24"/>
        </w:rPr>
        <w:t xml:space="preserve"> and when approved, notify the REB so we can release the final approval certificate</w:t>
      </w:r>
      <w:r w:rsidR="003E199E">
        <w:rPr>
          <w:sz w:val="24"/>
          <w:szCs w:val="24"/>
        </w:rPr>
        <w:t xml:space="preserve"> in RISe.</w:t>
      </w:r>
    </w:p>
    <w:p w:rsidR="00836DF1" w:rsidRDefault="00836DF1" w:rsidP="00836D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your project does not meet the criteria for resumption continue to wait for the next steps </w:t>
      </w:r>
    </w:p>
    <w:p w:rsidR="006F70AD" w:rsidRPr="00B76805" w:rsidRDefault="006F70AD" w:rsidP="006F70A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B76805">
        <w:rPr>
          <w:b/>
          <w:sz w:val="24"/>
          <w:szCs w:val="24"/>
        </w:rPr>
        <w:t xml:space="preserve">Projects that have received a FULL APPROVAL from the REB </w:t>
      </w:r>
      <w:r w:rsidR="00B76805" w:rsidRPr="00B76805">
        <w:rPr>
          <w:b/>
          <w:sz w:val="24"/>
          <w:szCs w:val="24"/>
        </w:rPr>
        <w:t>with</w:t>
      </w:r>
      <w:r w:rsidRPr="00B76805">
        <w:rPr>
          <w:b/>
          <w:sz w:val="24"/>
          <w:szCs w:val="24"/>
        </w:rPr>
        <w:t xml:space="preserve"> exemption</w:t>
      </w:r>
    </w:p>
    <w:p w:rsidR="006F70AD" w:rsidRPr="006F70AD" w:rsidRDefault="006F70AD" w:rsidP="006F70A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Projects that are</w:t>
      </w:r>
      <w:r w:rsidR="00B76805">
        <w:rPr>
          <w:sz w:val="24"/>
          <w:szCs w:val="24"/>
        </w:rPr>
        <w:t xml:space="preserve"> up and running via exemption will need to complete the </w:t>
      </w:r>
      <w:hyperlink r:id="rId16" w:history="1">
        <w:r w:rsidR="00B76805" w:rsidRPr="003E199E">
          <w:rPr>
            <w:rStyle w:val="Hyperlink"/>
            <w:sz w:val="24"/>
            <w:szCs w:val="24"/>
          </w:rPr>
          <w:t>intake form</w:t>
        </w:r>
      </w:hyperlink>
      <w:r w:rsidR="00B76805">
        <w:rPr>
          <w:sz w:val="24"/>
          <w:szCs w:val="24"/>
        </w:rPr>
        <w:t xml:space="preserve"> to remain on site but the REB does NOT need to be notified. </w:t>
      </w:r>
    </w:p>
    <w:p w:rsidR="005F4638" w:rsidRPr="00730902" w:rsidRDefault="005F4638" w:rsidP="005F4638">
      <w:pPr>
        <w:pStyle w:val="ListParagraph"/>
        <w:ind w:left="2880"/>
        <w:rPr>
          <w:sz w:val="24"/>
          <w:szCs w:val="24"/>
        </w:rPr>
      </w:pPr>
    </w:p>
    <w:p w:rsidR="005F4638" w:rsidRPr="00730902" w:rsidRDefault="005F4638" w:rsidP="005F4638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730902">
        <w:rPr>
          <w:b/>
          <w:caps/>
          <w:sz w:val="24"/>
          <w:szCs w:val="24"/>
        </w:rPr>
        <w:t>New research projects</w:t>
      </w:r>
      <w:r w:rsidR="00647FC4" w:rsidRPr="00730902">
        <w:rPr>
          <w:b/>
          <w:caps/>
          <w:sz w:val="24"/>
          <w:szCs w:val="24"/>
        </w:rPr>
        <w:t xml:space="preserve"> that will be reviewed and approved by the REB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COVID related projects that have received </w:t>
      </w:r>
      <w:r w:rsidR="00836DF1">
        <w:rPr>
          <w:sz w:val="24"/>
          <w:szCs w:val="24"/>
        </w:rPr>
        <w:t xml:space="preserve">an approval via the intake form 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Critical in-person research projects that have received an </w:t>
      </w:r>
      <w:r w:rsidR="00836DF1">
        <w:rPr>
          <w:sz w:val="24"/>
          <w:szCs w:val="24"/>
        </w:rPr>
        <w:t xml:space="preserve">approval via the intake form 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Research projects that do not involve </w:t>
      </w:r>
      <w:r w:rsidR="002C7847" w:rsidRPr="00730902">
        <w:rPr>
          <w:sz w:val="24"/>
          <w:szCs w:val="24"/>
        </w:rPr>
        <w:t>in-person</w:t>
      </w:r>
      <w:r w:rsidRPr="00730902">
        <w:rPr>
          <w:sz w:val="24"/>
          <w:szCs w:val="24"/>
        </w:rPr>
        <w:t xml:space="preserve"> interactions and can be conducted remotely</w:t>
      </w:r>
    </w:p>
    <w:p w:rsidR="00647FC4" w:rsidRDefault="00647FC4" w:rsidP="00647FC4">
      <w:pPr>
        <w:ind w:left="1080"/>
        <w:rPr>
          <w:sz w:val="24"/>
          <w:szCs w:val="24"/>
        </w:rPr>
      </w:pPr>
      <w:r w:rsidRPr="00730902">
        <w:rPr>
          <w:sz w:val="24"/>
          <w:szCs w:val="24"/>
        </w:rPr>
        <w:t xml:space="preserve">All other research submitted will be reviewed but will receive a conditional approval from the REB.  Once the curtailment has been lifted, these projects will receive a full approval to begin.  </w:t>
      </w:r>
    </w:p>
    <w:sectPr w:rsidR="00647FC4" w:rsidSect="00DF2115">
      <w:footerReference w:type="defaul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9C" w:rsidRDefault="005D279C" w:rsidP="00DF2115">
      <w:pPr>
        <w:spacing w:after="0" w:line="240" w:lineRule="auto"/>
      </w:pPr>
      <w:r>
        <w:separator/>
      </w:r>
    </w:p>
  </w:endnote>
  <w:endnote w:type="continuationSeparator" w:id="0">
    <w:p w:rsidR="005D279C" w:rsidRDefault="005D279C" w:rsidP="00D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801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4F6" w:rsidRDefault="009834F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F6" w:rsidRDefault="003E199E">
    <w:pPr>
      <w:pStyle w:val="Footer"/>
    </w:pPr>
    <w:r>
      <w:t>June 11,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9C" w:rsidRDefault="005D279C" w:rsidP="00DF2115">
      <w:pPr>
        <w:spacing w:after="0" w:line="240" w:lineRule="auto"/>
      </w:pPr>
      <w:r>
        <w:separator/>
      </w:r>
    </w:p>
  </w:footnote>
  <w:footnote w:type="continuationSeparator" w:id="0">
    <w:p w:rsidR="005D279C" w:rsidRDefault="005D279C" w:rsidP="00DF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462E"/>
    <w:multiLevelType w:val="hybridMultilevel"/>
    <w:tmpl w:val="A5FE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0F"/>
    <w:rsid w:val="000B704F"/>
    <w:rsid w:val="00140684"/>
    <w:rsid w:val="0024734E"/>
    <w:rsid w:val="002C7847"/>
    <w:rsid w:val="003E199E"/>
    <w:rsid w:val="004514F9"/>
    <w:rsid w:val="005632CF"/>
    <w:rsid w:val="005A48ED"/>
    <w:rsid w:val="005D279C"/>
    <w:rsid w:val="005F4638"/>
    <w:rsid w:val="00647FC4"/>
    <w:rsid w:val="006D5AEF"/>
    <w:rsid w:val="006F70AD"/>
    <w:rsid w:val="00730902"/>
    <w:rsid w:val="00752417"/>
    <w:rsid w:val="007A46CB"/>
    <w:rsid w:val="0082289B"/>
    <w:rsid w:val="00834F96"/>
    <w:rsid w:val="00836DF1"/>
    <w:rsid w:val="009834F6"/>
    <w:rsid w:val="009F7E90"/>
    <w:rsid w:val="00AB65B6"/>
    <w:rsid w:val="00B76805"/>
    <w:rsid w:val="00BC05B5"/>
    <w:rsid w:val="00C30551"/>
    <w:rsid w:val="00C42031"/>
    <w:rsid w:val="00DF2115"/>
    <w:rsid w:val="00E60ED0"/>
    <w:rsid w:val="00F3140F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6DE2BB"/>
  <w15:chartTrackingRefBased/>
  <w15:docId w15:val="{D02A7178-A155-4B84-B9B7-1B8DDC0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40F"/>
    <w:rPr>
      <w:b/>
      <w:bCs/>
    </w:rPr>
  </w:style>
  <w:style w:type="character" w:styleId="Hyperlink">
    <w:name w:val="Hyperlink"/>
    <w:basedOn w:val="DefaultParagraphFont"/>
    <w:uiPriority w:val="99"/>
    <w:unhideWhenUsed/>
    <w:rsid w:val="00F314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15"/>
  </w:style>
  <w:style w:type="paragraph" w:styleId="Footer">
    <w:name w:val="footer"/>
    <w:basedOn w:val="Normal"/>
    <w:link w:val="FooterChar"/>
    <w:uiPriority w:val="99"/>
    <w:unhideWhenUsed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15"/>
  </w:style>
  <w:style w:type="character" w:styleId="UnresolvedMention">
    <w:name w:val="Unresolved Mention"/>
    <w:basedOn w:val="DefaultParagraphFont"/>
    <w:uiPriority w:val="99"/>
    <w:semiHidden/>
    <w:unhideWhenUsed/>
    <w:rsid w:val="003E19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005278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  <w:div w:id="128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77289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  <w:div w:id="157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216699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ise.ub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phsa.ca/researchethic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c.bcchr.ca/redcap/surveys/?s=EPNPMME777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eb@bcchr.ub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.bcchr.ca/redcap/surveys/?s=EPNPMME777" TargetMode="External"/><Relationship Id="rId23" Type="http://schemas.openxmlformats.org/officeDocument/2006/relationships/customXml" Target="../customXml/item5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c.bcchr.ca/redcap/surveys/?s=EPNPMME777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8DBFC86CD44C5C4DB39877107FDA46FD" ma:contentTypeVersion="16" ma:contentTypeDescription="Create a new document." ma:contentTypeScope="" ma:versionID="e823c938157a736568cf61a74e4145b9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PHSADOC-97-117</_dlc_DocId>
    <_dlc_DocIdUrl xmlns="bb0eaabd-8237-4495-bdf5-f324c842ead6">
      <Url>https://ewiauthor.phsa.ca/research/_layouts/15/DocIdRedir.aspx?ID=PHSADOC-97-117</Url>
      <Description>PHSADOC-97-117</Description>
    </_dlc_DocIdUrl>
  </documentManagement>
</p:properties>
</file>

<file path=customXml/itemProps1.xml><?xml version="1.0" encoding="utf-8"?>
<ds:datastoreItem xmlns:ds="http://schemas.openxmlformats.org/officeDocument/2006/customXml" ds:itemID="{D98CED6E-D03E-483B-8DE1-5670969BD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BD9A8-485B-4D3B-BFDD-17AAB4E65BD9}"/>
</file>

<file path=customXml/itemProps3.xml><?xml version="1.0" encoding="utf-8"?>
<ds:datastoreItem xmlns:ds="http://schemas.openxmlformats.org/officeDocument/2006/customXml" ds:itemID="{ADA64541-2CE8-41C4-BC35-120B63AB2A60}"/>
</file>

<file path=customXml/itemProps4.xml><?xml version="1.0" encoding="utf-8"?>
<ds:datastoreItem xmlns:ds="http://schemas.openxmlformats.org/officeDocument/2006/customXml" ds:itemID="{09FE17D4-4803-4300-A3EA-0DC4FF9B703C}"/>
</file>

<file path=customXml/itemProps5.xml><?xml version="1.0" encoding="utf-8"?>
<ds:datastoreItem xmlns:ds="http://schemas.openxmlformats.org/officeDocument/2006/customXml" ds:itemID="{48024B65-AA38-4696-A4B6-BB6BCE489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Prasad</dc:creator>
  <cp:keywords/>
  <dc:description/>
  <cp:lastModifiedBy>Jennie Prasad</cp:lastModifiedBy>
  <cp:revision>4</cp:revision>
  <dcterms:created xsi:type="dcterms:W3CDTF">2020-06-04T20:56:00Z</dcterms:created>
  <dcterms:modified xsi:type="dcterms:W3CDTF">2020-06-11T17:57:00Z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0x01010027C4DD6E2671BA48BC4E45ABF1AFDAAB008DBFC86CD44C5C4DB39877107FDA46FD</vt:lpwstr>
  </property>
  <property fmtid="{D5CDD505-2E9C-101B-9397-08002B2CF9AE}" pid="3" name="_dlc_DocIdItemGuid">
    <vt:lpwstr>6a7f8c97-eaba-46d8-93f2-3230fdeee873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