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E908" w14:textId="77777777" w:rsidR="00AE6A04" w:rsidRPr="00717EF8" w:rsidRDefault="00067517" w:rsidP="2CD07661">
      <w:pPr>
        <w:spacing w:after="0"/>
        <w:jc w:val="center"/>
        <w:rPr>
          <w:b/>
          <w:bCs/>
          <w:sz w:val="32"/>
          <w:szCs w:val="32"/>
        </w:rPr>
      </w:pPr>
      <w:r w:rsidRPr="2CD07661">
        <w:rPr>
          <w:b/>
          <w:bCs/>
          <w:sz w:val="32"/>
          <w:szCs w:val="32"/>
        </w:rPr>
        <w:t>Tool</w:t>
      </w:r>
      <w:r w:rsidR="00717EF8" w:rsidRPr="2CD07661">
        <w:rPr>
          <w:b/>
          <w:bCs/>
          <w:sz w:val="32"/>
          <w:szCs w:val="32"/>
        </w:rPr>
        <w:t xml:space="preserve"> reference guide</w:t>
      </w:r>
    </w:p>
    <w:p w14:paraId="353EA2FC" w14:textId="77777777" w:rsidR="00717EF8" w:rsidRPr="00717EF8" w:rsidRDefault="00717EF8" w:rsidP="00717EF8">
      <w:pPr>
        <w:spacing w:after="0"/>
        <w:jc w:val="center"/>
        <w:rPr>
          <w:sz w:val="28"/>
          <w:szCs w:val="28"/>
        </w:rPr>
      </w:pPr>
      <w:r w:rsidRPr="00717EF8">
        <w:rPr>
          <w:sz w:val="28"/>
          <w:szCs w:val="28"/>
        </w:rPr>
        <w:t>Inter- and Intra-Health Authority Relocation</w:t>
      </w:r>
    </w:p>
    <w:p w14:paraId="3EFF7789" w14:textId="77777777" w:rsidR="00AE6A04" w:rsidRPr="00AE6A04" w:rsidRDefault="00AE6A04" w:rsidP="00AE6A04">
      <w:pPr>
        <w:spacing w:after="0"/>
        <w:rPr>
          <w:sz w:val="20"/>
        </w:rPr>
      </w:pPr>
    </w:p>
    <w:tbl>
      <w:tblPr>
        <w:tblStyle w:val="TableGrid"/>
        <w:tblW w:w="14459" w:type="dxa"/>
        <w:tblInd w:w="-714" w:type="dxa"/>
        <w:tblLook w:val="04A0" w:firstRow="1" w:lastRow="0" w:firstColumn="1" w:lastColumn="0" w:noHBand="0" w:noVBand="1"/>
      </w:tblPr>
      <w:tblGrid>
        <w:gridCol w:w="2590"/>
        <w:gridCol w:w="2590"/>
        <w:gridCol w:w="5027"/>
        <w:gridCol w:w="2126"/>
        <w:gridCol w:w="2126"/>
      </w:tblGrid>
      <w:tr w:rsidR="00EA21FC" w14:paraId="24A0B579" w14:textId="77777777" w:rsidTr="0B69627B">
        <w:tc>
          <w:tcPr>
            <w:tcW w:w="2590" w:type="dxa"/>
            <w:vMerge w:val="restart"/>
            <w:vAlign w:val="center"/>
          </w:tcPr>
          <w:p w14:paraId="6999A260" w14:textId="77777777" w:rsidR="00EA21FC" w:rsidRPr="00EA21FC" w:rsidRDefault="00E75B52" w:rsidP="00D05182">
            <w:pPr>
              <w:jc w:val="center"/>
              <w:rPr>
                <w:b/>
              </w:rPr>
            </w:pPr>
            <w:r w:rsidRPr="00EA21FC">
              <w:rPr>
                <w:b/>
              </w:rPr>
              <w:t>Phase</w:t>
            </w:r>
          </w:p>
        </w:tc>
        <w:tc>
          <w:tcPr>
            <w:tcW w:w="2590" w:type="dxa"/>
            <w:vMerge w:val="restart"/>
            <w:vAlign w:val="center"/>
          </w:tcPr>
          <w:p w14:paraId="45F73463" w14:textId="77777777" w:rsidR="00EA21FC" w:rsidRPr="00EA21FC" w:rsidRDefault="00E75B52" w:rsidP="00E75B52">
            <w:pPr>
              <w:jc w:val="center"/>
              <w:rPr>
                <w:b/>
              </w:rPr>
            </w:pPr>
            <w:r w:rsidRPr="00EA21FC">
              <w:rPr>
                <w:b/>
              </w:rPr>
              <w:t>Tool</w:t>
            </w:r>
            <w:r w:rsidR="00776B5B">
              <w:rPr>
                <w:b/>
              </w:rPr>
              <w:t>/d</w:t>
            </w:r>
            <w:r>
              <w:rPr>
                <w:b/>
              </w:rPr>
              <w:t>ocument</w:t>
            </w:r>
          </w:p>
        </w:tc>
        <w:tc>
          <w:tcPr>
            <w:tcW w:w="5027" w:type="dxa"/>
            <w:vMerge w:val="restart"/>
            <w:vAlign w:val="center"/>
          </w:tcPr>
          <w:p w14:paraId="37A188F1" w14:textId="77777777" w:rsidR="00EA21FC" w:rsidRPr="00EA21FC" w:rsidRDefault="00E75B52" w:rsidP="00D05182">
            <w:pPr>
              <w:jc w:val="center"/>
              <w:rPr>
                <w:b/>
              </w:rPr>
            </w:pPr>
            <w:r w:rsidRPr="00EA21FC">
              <w:rPr>
                <w:b/>
              </w:rPr>
              <w:t>Purpose</w:t>
            </w:r>
          </w:p>
        </w:tc>
        <w:tc>
          <w:tcPr>
            <w:tcW w:w="4252" w:type="dxa"/>
            <w:gridSpan w:val="2"/>
            <w:vAlign w:val="center"/>
          </w:tcPr>
          <w:p w14:paraId="4B0F4A42" w14:textId="77777777" w:rsidR="004E552C" w:rsidRPr="00EA21FC" w:rsidRDefault="00E75B52" w:rsidP="00067517">
            <w:pPr>
              <w:ind w:right="-107"/>
              <w:jc w:val="center"/>
              <w:rPr>
                <w:b/>
              </w:rPr>
            </w:pPr>
            <w:r w:rsidRPr="00EA21FC">
              <w:rPr>
                <w:b/>
              </w:rPr>
              <w:t xml:space="preserve">Primary </w:t>
            </w:r>
            <w:r w:rsidR="00067517">
              <w:rPr>
                <w:b/>
              </w:rPr>
              <w:t>u</w:t>
            </w:r>
            <w:r w:rsidRPr="00EA21FC">
              <w:rPr>
                <w:b/>
              </w:rPr>
              <w:t>ser(</w:t>
            </w:r>
            <w:r>
              <w:rPr>
                <w:b/>
              </w:rPr>
              <w:t>s</w:t>
            </w:r>
            <w:r w:rsidRPr="00EA21FC">
              <w:rPr>
                <w:b/>
              </w:rPr>
              <w:t>)</w:t>
            </w:r>
          </w:p>
        </w:tc>
      </w:tr>
      <w:tr w:rsidR="00EA21FC" w14:paraId="35A4CA2F" w14:textId="77777777" w:rsidTr="0B69627B">
        <w:tc>
          <w:tcPr>
            <w:tcW w:w="2590" w:type="dxa"/>
            <w:vMerge/>
            <w:vAlign w:val="center"/>
          </w:tcPr>
          <w:p w14:paraId="445EA139" w14:textId="77777777" w:rsidR="00EA21FC" w:rsidRPr="00EA21FC" w:rsidRDefault="00EA21FC" w:rsidP="00D05182">
            <w:pPr>
              <w:jc w:val="center"/>
              <w:rPr>
                <w:b/>
              </w:rPr>
            </w:pPr>
          </w:p>
        </w:tc>
        <w:tc>
          <w:tcPr>
            <w:tcW w:w="2590" w:type="dxa"/>
            <w:vMerge/>
            <w:vAlign w:val="center"/>
          </w:tcPr>
          <w:p w14:paraId="7D5BDF5F" w14:textId="77777777" w:rsidR="00EA21FC" w:rsidRPr="00EA21FC" w:rsidRDefault="00EA21FC" w:rsidP="00D05182">
            <w:pPr>
              <w:jc w:val="center"/>
              <w:rPr>
                <w:b/>
              </w:rPr>
            </w:pPr>
          </w:p>
        </w:tc>
        <w:tc>
          <w:tcPr>
            <w:tcW w:w="5027" w:type="dxa"/>
            <w:vMerge/>
            <w:vAlign w:val="center"/>
          </w:tcPr>
          <w:p w14:paraId="48952D48" w14:textId="77777777" w:rsidR="00EA21FC" w:rsidRPr="00EA21FC" w:rsidRDefault="00EA21FC" w:rsidP="00D05182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1DF7010B" w14:textId="77777777" w:rsidR="00EA21FC" w:rsidRPr="00EA21FC" w:rsidRDefault="00E75B52" w:rsidP="00E75B52">
            <w:pPr>
              <w:jc w:val="center"/>
              <w:rPr>
                <w:b/>
              </w:rPr>
            </w:pPr>
            <w:r w:rsidRPr="00EA21FC">
              <w:rPr>
                <w:b/>
              </w:rPr>
              <w:t>Clinical</w:t>
            </w:r>
          </w:p>
        </w:tc>
        <w:tc>
          <w:tcPr>
            <w:tcW w:w="2126" w:type="dxa"/>
            <w:vAlign w:val="center"/>
          </w:tcPr>
          <w:p w14:paraId="27EFCD54" w14:textId="77777777" w:rsidR="00EA21FC" w:rsidRPr="00EA21FC" w:rsidRDefault="00776B5B" w:rsidP="00D05182">
            <w:pPr>
              <w:jc w:val="center"/>
              <w:rPr>
                <w:b/>
              </w:rPr>
            </w:pPr>
            <w:r>
              <w:rPr>
                <w:b/>
              </w:rPr>
              <w:t>Site/regional l</w:t>
            </w:r>
            <w:r w:rsidR="00E75B52" w:rsidRPr="00EA21FC">
              <w:rPr>
                <w:b/>
              </w:rPr>
              <w:t>eadership</w:t>
            </w:r>
          </w:p>
        </w:tc>
      </w:tr>
      <w:tr w:rsidR="009233B6" w14:paraId="251961C0" w14:textId="77777777" w:rsidTr="0B69627B">
        <w:tc>
          <w:tcPr>
            <w:tcW w:w="2590" w:type="dxa"/>
            <w:vMerge w:val="restart"/>
            <w:shd w:val="clear" w:color="auto" w:fill="D5DCE4" w:themeFill="text2" w:themeFillTint="33"/>
            <w:vAlign w:val="center"/>
          </w:tcPr>
          <w:p w14:paraId="0DED4F89" w14:textId="77777777" w:rsidR="009233B6" w:rsidRPr="004C2958" w:rsidRDefault="009233B6" w:rsidP="00967C82">
            <w:pPr>
              <w:rPr>
                <w:b/>
              </w:rPr>
            </w:pPr>
            <w:r w:rsidRPr="004C2958">
              <w:rPr>
                <w:b/>
              </w:rPr>
              <w:t>Activation</w:t>
            </w:r>
          </w:p>
        </w:tc>
        <w:tc>
          <w:tcPr>
            <w:tcW w:w="2590" w:type="dxa"/>
            <w:shd w:val="clear" w:color="auto" w:fill="D5DCE4" w:themeFill="text2" w:themeFillTint="33"/>
            <w:vAlign w:val="center"/>
          </w:tcPr>
          <w:p w14:paraId="6410E1CE" w14:textId="77777777" w:rsidR="009233B6" w:rsidRPr="00BC20FB" w:rsidRDefault="009233B6" w:rsidP="00967C82">
            <w:pPr>
              <w:spacing w:line="276" w:lineRule="auto"/>
            </w:pPr>
            <w:r w:rsidRPr="00BC20FB">
              <w:t>Decision-making framework</w:t>
            </w:r>
          </w:p>
        </w:tc>
        <w:tc>
          <w:tcPr>
            <w:tcW w:w="5027" w:type="dxa"/>
            <w:shd w:val="clear" w:color="auto" w:fill="D5DCE4" w:themeFill="text2" w:themeFillTint="33"/>
          </w:tcPr>
          <w:p w14:paraId="76B38E06" w14:textId="77777777" w:rsidR="009233B6" w:rsidRDefault="009233B6" w:rsidP="00967C82">
            <w:pPr>
              <w:spacing w:line="276" w:lineRule="auto"/>
            </w:pPr>
            <w:r>
              <w:t xml:space="preserve">Outline of shared principles and values of relocation and considerations for ethical decision-making.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615C757D" w14:textId="77777777" w:rsidR="009233B6" w:rsidRDefault="009233B6" w:rsidP="00967C82">
            <w:pPr>
              <w:jc w:val="center"/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3314193F" w14:textId="77777777" w:rsidR="009233B6" w:rsidRDefault="009233B6" w:rsidP="00967C82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9233B6" w14:paraId="57E6C594" w14:textId="77777777" w:rsidTr="0B69627B">
        <w:tc>
          <w:tcPr>
            <w:tcW w:w="2590" w:type="dxa"/>
            <w:vMerge/>
            <w:vAlign w:val="center"/>
          </w:tcPr>
          <w:p w14:paraId="59C7D0C0" w14:textId="77777777" w:rsidR="009233B6" w:rsidRPr="004C2958" w:rsidRDefault="009233B6" w:rsidP="00967C82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D5DCE4" w:themeFill="text2" w:themeFillTint="33"/>
            <w:vAlign w:val="center"/>
          </w:tcPr>
          <w:p w14:paraId="61A032F6" w14:textId="77777777" w:rsidR="009233B6" w:rsidRPr="00BC20FB" w:rsidRDefault="009233B6" w:rsidP="00967C82">
            <w:pPr>
              <w:spacing w:line="276" w:lineRule="auto"/>
            </w:pPr>
            <w:r w:rsidRPr="00BC20FB">
              <w:t>Roles and responsibilities</w:t>
            </w:r>
          </w:p>
        </w:tc>
        <w:tc>
          <w:tcPr>
            <w:tcW w:w="5027" w:type="dxa"/>
            <w:shd w:val="clear" w:color="auto" w:fill="D5DCE4" w:themeFill="text2" w:themeFillTint="33"/>
          </w:tcPr>
          <w:p w14:paraId="59CFDFB5" w14:textId="77777777" w:rsidR="009233B6" w:rsidRDefault="009233B6" w:rsidP="00967C82">
            <w:pPr>
              <w:spacing w:line="276" w:lineRule="auto"/>
            </w:pPr>
            <w:r>
              <w:t xml:space="preserve">Outline of high-level roles and responsibilities of key agencies involved in relocation. 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16C60284" w14:textId="77777777" w:rsidR="009233B6" w:rsidRDefault="009233B6" w:rsidP="00967C82">
            <w:pPr>
              <w:jc w:val="center"/>
            </w:pP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455B3AAD" w14:textId="77777777" w:rsidR="009233B6" w:rsidRDefault="009233B6" w:rsidP="00967C82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7F2A3D" w14:paraId="0B31CA0D" w14:textId="77777777" w:rsidTr="0B69627B">
        <w:tc>
          <w:tcPr>
            <w:tcW w:w="2590" w:type="dxa"/>
            <w:vMerge w:val="restart"/>
            <w:shd w:val="clear" w:color="auto" w:fill="FFCCCC"/>
            <w:vAlign w:val="center"/>
          </w:tcPr>
          <w:p w14:paraId="4B36AA96" w14:textId="77777777" w:rsidR="007F2A3D" w:rsidRPr="004C2958" w:rsidRDefault="00067517" w:rsidP="00E75B52">
            <w:pPr>
              <w:rPr>
                <w:b/>
              </w:rPr>
            </w:pPr>
            <w:r>
              <w:rPr>
                <w:b/>
              </w:rPr>
              <w:t xml:space="preserve">Coordination </w:t>
            </w:r>
          </w:p>
        </w:tc>
        <w:tc>
          <w:tcPr>
            <w:tcW w:w="2590" w:type="dxa"/>
            <w:shd w:val="clear" w:color="auto" w:fill="FFCCCC"/>
            <w:vAlign w:val="center"/>
          </w:tcPr>
          <w:p w14:paraId="0B3B24F2" w14:textId="77777777" w:rsidR="007F2A3D" w:rsidRPr="00BC20FB" w:rsidRDefault="00926E8E" w:rsidP="00AE6A04">
            <w:pPr>
              <w:spacing w:line="276" w:lineRule="auto"/>
            </w:pPr>
            <w:r w:rsidRPr="00BC20FB">
              <w:t>Evacuation process f</w:t>
            </w:r>
            <w:r w:rsidR="007F2A3D" w:rsidRPr="00BC20FB">
              <w:t>lowchart</w:t>
            </w:r>
          </w:p>
        </w:tc>
        <w:tc>
          <w:tcPr>
            <w:tcW w:w="5027" w:type="dxa"/>
            <w:shd w:val="clear" w:color="auto" w:fill="FFCCCC"/>
          </w:tcPr>
          <w:p w14:paraId="77051354" w14:textId="77777777" w:rsidR="007F2A3D" w:rsidRDefault="004E552C" w:rsidP="00AE6A04">
            <w:pPr>
              <w:spacing w:line="276" w:lineRule="auto"/>
            </w:pPr>
            <w:r>
              <w:t xml:space="preserve">Overview of evacuation process and critical actions at each phase. 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18C37F4B" w14:textId="77777777" w:rsidR="007F2A3D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1EF72ACD" w14:textId="77777777" w:rsidR="007F2A3D" w:rsidRPr="007F2A3D" w:rsidRDefault="007F2A3D" w:rsidP="00AE6A04">
            <w:pPr>
              <w:jc w:val="center"/>
              <w:rPr>
                <w:b/>
              </w:rPr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7F2A3D" w14:paraId="6FACAEB6" w14:textId="77777777" w:rsidTr="0B69627B">
        <w:tc>
          <w:tcPr>
            <w:tcW w:w="2590" w:type="dxa"/>
            <w:vMerge/>
            <w:vAlign w:val="center"/>
          </w:tcPr>
          <w:p w14:paraId="10210475" w14:textId="77777777" w:rsidR="007F2A3D" w:rsidRPr="004C2958" w:rsidRDefault="007F2A3D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CCCC"/>
            <w:vAlign w:val="center"/>
          </w:tcPr>
          <w:p w14:paraId="5DB4A4AA" w14:textId="77777777" w:rsidR="007F2A3D" w:rsidRPr="00BC20FB" w:rsidRDefault="00926E8E" w:rsidP="00AE6A04">
            <w:pPr>
              <w:spacing w:line="276" w:lineRule="auto"/>
            </w:pPr>
            <w:r w:rsidRPr="00BC20FB">
              <w:t>Evacuee f</w:t>
            </w:r>
            <w:r w:rsidR="007F2A3D" w:rsidRPr="00BC20FB">
              <w:t>lowchart</w:t>
            </w:r>
          </w:p>
        </w:tc>
        <w:tc>
          <w:tcPr>
            <w:tcW w:w="5027" w:type="dxa"/>
            <w:shd w:val="clear" w:color="auto" w:fill="FFCCCC"/>
          </w:tcPr>
          <w:p w14:paraId="761DF561" w14:textId="77777777" w:rsidR="007F2A3D" w:rsidRDefault="004E552C" w:rsidP="00C67353">
            <w:pPr>
              <w:spacing w:line="276" w:lineRule="auto"/>
            </w:pPr>
            <w:r>
              <w:t xml:space="preserve">Overview of flow of evacuee movement. 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765B9274" w14:textId="77777777" w:rsidR="007F2A3D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320E7509" w14:textId="77777777" w:rsidR="007F2A3D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7F2A3D" w14:paraId="148BD688" w14:textId="77777777" w:rsidTr="0B69627B">
        <w:tc>
          <w:tcPr>
            <w:tcW w:w="2590" w:type="dxa"/>
            <w:vMerge/>
            <w:vAlign w:val="center"/>
          </w:tcPr>
          <w:p w14:paraId="4EB77128" w14:textId="77777777" w:rsidR="007F2A3D" w:rsidRPr="004C2958" w:rsidRDefault="007F2A3D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CCCC"/>
            <w:vAlign w:val="center"/>
          </w:tcPr>
          <w:p w14:paraId="6E7CDAE1" w14:textId="77777777" w:rsidR="007F2A3D" w:rsidRPr="00BC20FB" w:rsidRDefault="007F2A3D" w:rsidP="00847B95">
            <w:pPr>
              <w:spacing w:line="276" w:lineRule="auto"/>
            </w:pPr>
            <w:r w:rsidRPr="00BC20FB">
              <w:t>E</w:t>
            </w:r>
            <w:r w:rsidR="00926E8E" w:rsidRPr="00BC20FB">
              <w:t>mergency response s</w:t>
            </w:r>
            <w:r w:rsidRPr="00BC20FB">
              <w:t>tructures</w:t>
            </w:r>
          </w:p>
        </w:tc>
        <w:tc>
          <w:tcPr>
            <w:tcW w:w="5027" w:type="dxa"/>
            <w:shd w:val="clear" w:color="auto" w:fill="FFCCCC"/>
          </w:tcPr>
          <w:p w14:paraId="46E5D14A" w14:textId="77777777" w:rsidR="007F2A3D" w:rsidRDefault="004E552C" w:rsidP="00AE6A04">
            <w:pPr>
              <w:spacing w:line="276" w:lineRule="auto"/>
            </w:pPr>
            <w:r>
              <w:t xml:space="preserve">Overview of emergency response structures that may be activated during an evacuation. 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799ADEEB" w14:textId="77777777" w:rsidR="007F2A3D" w:rsidRDefault="007F2A3D" w:rsidP="00AE6A04">
            <w:pPr>
              <w:jc w:val="center"/>
            </w:pPr>
          </w:p>
        </w:tc>
        <w:tc>
          <w:tcPr>
            <w:tcW w:w="2126" w:type="dxa"/>
            <w:shd w:val="clear" w:color="auto" w:fill="FFCCCC"/>
            <w:vAlign w:val="center"/>
          </w:tcPr>
          <w:p w14:paraId="4566D1CF" w14:textId="77777777" w:rsidR="007F2A3D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7F2A3D" w14:paraId="1EDCF63C" w14:textId="77777777" w:rsidTr="0B69627B">
        <w:tc>
          <w:tcPr>
            <w:tcW w:w="2590" w:type="dxa"/>
            <w:vMerge/>
            <w:vAlign w:val="center"/>
          </w:tcPr>
          <w:p w14:paraId="58F19176" w14:textId="77777777" w:rsidR="007F2A3D" w:rsidRPr="004C2958" w:rsidRDefault="007F2A3D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CCCC"/>
            <w:vAlign w:val="center"/>
          </w:tcPr>
          <w:p w14:paraId="46663269" w14:textId="77777777" w:rsidR="007F2A3D" w:rsidRPr="00BC20FB" w:rsidRDefault="00926E8E" w:rsidP="00A27DDA">
            <w:pPr>
              <w:spacing w:line="276" w:lineRule="auto"/>
            </w:pPr>
            <w:r w:rsidRPr="00BC20FB">
              <w:t>Health S</w:t>
            </w:r>
            <w:r w:rsidR="009233B6">
              <w:t>ystems</w:t>
            </w:r>
            <w:r w:rsidRPr="00BC20FB">
              <w:t xml:space="preserve"> </w:t>
            </w:r>
            <w:r w:rsidR="00A27DDA">
              <w:t>Operations</w:t>
            </w:r>
            <w:r w:rsidRPr="00BC20FB">
              <w:t xml:space="preserve"> Centre (HSOC)</w:t>
            </w:r>
          </w:p>
        </w:tc>
        <w:tc>
          <w:tcPr>
            <w:tcW w:w="5027" w:type="dxa"/>
            <w:shd w:val="clear" w:color="auto" w:fill="FFCCCC"/>
          </w:tcPr>
          <w:p w14:paraId="59A8B81D" w14:textId="77777777" w:rsidR="007F2A3D" w:rsidRDefault="004E552C" w:rsidP="00AE6A04">
            <w:pPr>
              <w:spacing w:line="276" w:lineRule="auto"/>
            </w:pPr>
            <w:r>
              <w:t xml:space="preserve">Overview of </w:t>
            </w:r>
            <w:r w:rsidR="00E545F6">
              <w:t xml:space="preserve">levels of activation of </w:t>
            </w:r>
            <w:r>
              <w:t xml:space="preserve">provincial, inter-health authority coordination structure. </w:t>
            </w:r>
          </w:p>
        </w:tc>
        <w:tc>
          <w:tcPr>
            <w:tcW w:w="2126" w:type="dxa"/>
            <w:shd w:val="clear" w:color="auto" w:fill="FFCCCC"/>
            <w:vAlign w:val="center"/>
          </w:tcPr>
          <w:p w14:paraId="38AC25CC" w14:textId="77777777" w:rsidR="007F2A3D" w:rsidRDefault="007F2A3D" w:rsidP="00AE6A04">
            <w:pPr>
              <w:jc w:val="center"/>
            </w:pPr>
          </w:p>
        </w:tc>
        <w:tc>
          <w:tcPr>
            <w:tcW w:w="2126" w:type="dxa"/>
            <w:shd w:val="clear" w:color="auto" w:fill="FFCCCC"/>
            <w:vAlign w:val="center"/>
          </w:tcPr>
          <w:p w14:paraId="3F32E737" w14:textId="77777777" w:rsidR="007F2A3D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4B2ED4CE" w14:textId="77777777" w:rsidTr="0B69627B">
        <w:tc>
          <w:tcPr>
            <w:tcW w:w="2590" w:type="dxa"/>
            <w:vMerge w:val="restart"/>
            <w:shd w:val="clear" w:color="auto" w:fill="FBE4D5" w:themeFill="accent2" w:themeFillTint="33"/>
            <w:vAlign w:val="center"/>
          </w:tcPr>
          <w:p w14:paraId="1DDF19B1" w14:textId="77777777" w:rsidR="005D2809" w:rsidRPr="004C2958" w:rsidRDefault="00926E8E" w:rsidP="00AE6A04">
            <w:pPr>
              <w:rPr>
                <w:b/>
              </w:rPr>
            </w:pPr>
            <w:r>
              <w:rPr>
                <w:b/>
              </w:rPr>
              <w:t>Evacuation p</w:t>
            </w:r>
            <w:r w:rsidR="005D2809" w:rsidRPr="004C2958">
              <w:rPr>
                <w:b/>
              </w:rPr>
              <w:t>reparedness</w:t>
            </w:r>
          </w:p>
        </w:tc>
        <w:tc>
          <w:tcPr>
            <w:tcW w:w="2590" w:type="dxa"/>
            <w:shd w:val="clear" w:color="auto" w:fill="FBE4D5" w:themeFill="accent2" w:themeFillTint="33"/>
            <w:vAlign w:val="center"/>
          </w:tcPr>
          <w:p w14:paraId="12E95021" w14:textId="77777777" w:rsidR="005D2809" w:rsidRPr="00BC20FB" w:rsidRDefault="00926E8E" w:rsidP="00AE6A04">
            <w:pPr>
              <w:spacing w:line="276" w:lineRule="auto"/>
            </w:pPr>
            <w:r w:rsidRPr="00BC20FB">
              <w:t>Sending site l</w:t>
            </w:r>
            <w:r w:rsidR="005D2809" w:rsidRPr="00BC20FB">
              <w:t>ist</w:t>
            </w:r>
          </w:p>
        </w:tc>
        <w:tc>
          <w:tcPr>
            <w:tcW w:w="5027" w:type="dxa"/>
            <w:shd w:val="clear" w:color="auto" w:fill="FBE4D5" w:themeFill="accent2" w:themeFillTint="33"/>
          </w:tcPr>
          <w:p w14:paraId="1BB3B7A4" w14:textId="77777777" w:rsidR="005D2809" w:rsidRDefault="00F37AE0" w:rsidP="00AE6A04">
            <w:pPr>
              <w:spacing w:line="276" w:lineRule="auto"/>
            </w:pPr>
            <w:r>
              <w:t xml:space="preserve">Process for identifying and tracking </w:t>
            </w:r>
            <w:r w:rsidR="004E552C">
              <w:t>patient/client/residents who require evacuation.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898C427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7A9E122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2546047A" w14:textId="77777777" w:rsidTr="0B69627B">
        <w:tc>
          <w:tcPr>
            <w:tcW w:w="2590" w:type="dxa"/>
            <w:vMerge/>
            <w:vAlign w:val="center"/>
          </w:tcPr>
          <w:p w14:paraId="5EA6BBA0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BE4D5" w:themeFill="accent2" w:themeFillTint="33"/>
            <w:vAlign w:val="center"/>
          </w:tcPr>
          <w:p w14:paraId="3D78CC55" w14:textId="77777777" w:rsidR="005D2809" w:rsidRPr="00BC20FB" w:rsidRDefault="005D2809" w:rsidP="00AE6A04">
            <w:pPr>
              <w:spacing w:line="276" w:lineRule="auto"/>
            </w:pPr>
            <w:r w:rsidRPr="00BC20FB">
              <w:t xml:space="preserve">Checklist: Preparation for </w:t>
            </w:r>
            <w:r w:rsidR="00926E8E" w:rsidRPr="00BC20FB">
              <w:t>r</w:t>
            </w:r>
            <w:r w:rsidRPr="00BC20FB">
              <w:t>elocation</w:t>
            </w:r>
          </w:p>
        </w:tc>
        <w:tc>
          <w:tcPr>
            <w:tcW w:w="5027" w:type="dxa"/>
            <w:shd w:val="clear" w:color="auto" w:fill="FBE4D5" w:themeFill="accent2" w:themeFillTint="33"/>
          </w:tcPr>
          <w:p w14:paraId="5E439F3C" w14:textId="77777777" w:rsidR="005D2809" w:rsidRDefault="00670349" w:rsidP="00AE6A04">
            <w:pPr>
              <w:spacing w:line="276" w:lineRule="auto"/>
            </w:pPr>
            <w:r>
              <w:t>G</w:t>
            </w:r>
            <w:r w:rsidR="00F37AE0">
              <w:t>uide to</w:t>
            </w:r>
            <w:r>
              <w:t xml:space="preserve"> prep</w:t>
            </w:r>
            <w:r w:rsidR="00F37AE0">
              <w:t>aring</w:t>
            </w:r>
            <w:r>
              <w:t xml:space="preserve"> patient/client/resident for evacuation in order to ensure all critical actions are completed. 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6340B023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43B22BC5" w14:textId="77777777" w:rsidR="005D2809" w:rsidRDefault="005D2809" w:rsidP="00AE6A04">
            <w:pPr>
              <w:jc w:val="center"/>
            </w:pPr>
          </w:p>
        </w:tc>
      </w:tr>
      <w:tr w:rsidR="005D2809" w14:paraId="2F68A536" w14:textId="77777777" w:rsidTr="0B69627B">
        <w:tc>
          <w:tcPr>
            <w:tcW w:w="2590" w:type="dxa"/>
            <w:vMerge/>
            <w:vAlign w:val="center"/>
          </w:tcPr>
          <w:p w14:paraId="0A2682FB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BE4D5" w:themeFill="accent2" w:themeFillTint="33"/>
            <w:vAlign w:val="center"/>
          </w:tcPr>
          <w:p w14:paraId="027B95AE" w14:textId="77777777" w:rsidR="005D2809" w:rsidRPr="00BC20FB" w:rsidRDefault="00926E8E" w:rsidP="00AE6A04">
            <w:pPr>
              <w:spacing w:line="276" w:lineRule="auto"/>
              <w:rPr>
                <w:highlight w:val="yellow"/>
              </w:rPr>
            </w:pPr>
            <w:r w:rsidRPr="00BC20FB">
              <w:t>Job action sheet: Evacuation c</w:t>
            </w:r>
            <w:r w:rsidR="005D2809" w:rsidRPr="00BC20FB">
              <w:t>oordinator</w:t>
            </w:r>
          </w:p>
        </w:tc>
        <w:tc>
          <w:tcPr>
            <w:tcW w:w="5027" w:type="dxa"/>
            <w:shd w:val="clear" w:color="auto" w:fill="FBE4D5" w:themeFill="accent2" w:themeFillTint="33"/>
          </w:tcPr>
          <w:p w14:paraId="5A29D40E" w14:textId="77777777" w:rsidR="005D2809" w:rsidRDefault="00F37AE0" w:rsidP="00AE6A04">
            <w:pPr>
              <w:spacing w:line="276" w:lineRule="auto"/>
            </w:pPr>
            <w:r>
              <w:t>Outline of high-level actions that the site-level evacuation coordinator must accomplish.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11B8FE80" w14:textId="77777777" w:rsidR="005D2809" w:rsidRDefault="005D2809" w:rsidP="00AE6A04">
            <w:pPr>
              <w:jc w:val="center"/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01081DB7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0AA55BB2" w14:textId="77777777" w:rsidTr="0B69627B">
        <w:tc>
          <w:tcPr>
            <w:tcW w:w="2590" w:type="dxa"/>
            <w:vMerge/>
            <w:vAlign w:val="center"/>
          </w:tcPr>
          <w:p w14:paraId="5C96D724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BE4D5" w:themeFill="accent2" w:themeFillTint="33"/>
            <w:vAlign w:val="center"/>
          </w:tcPr>
          <w:p w14:paraId="21C87335" w14:textId="77777777" w:rsidR="005D2809" w:rsidRPr="00BC20FB" w:rsidRDefault="005D2809" w:rsidP="00AE6A04">
            <w:pPr>
              <w:spacing w:line="276" w:lineRule="auto"/>
            </w:pPr>
            <w:r w:rsidRPr="00BC20FB">
              <w:t>Pat</w:t>
            </w:r>
            <w:r w:rsidR="00926E8E" w:rsidRPr="00BC20FB">
              <w:t>ient/client/resident i</w:t>
            </w:r>
            <w:r w:rsidRPr="00BC20FB">
              <w:t>dentification</w:t>
            </w:r>
          </w:p>
        </w:tc>
        <w:tc>
          <w:tcPr>
            <w:tcW w:w="5027" w:type="dxa"/>
            <w:shd w:val="clear" w:color="auto" w:fill="FBE4D5" w:themeFill="accent2" w:themeFillTint="33"/>
          </w:tcPr>
          <w:p w14:paraId="21F8826F" w14:textId="77777777" w:rsidR="005D2809" w:rsidRDefault="00F37AE0" w:rsidP="00AE6A04">
            <w:pPr>
              <w:spacing w:line="276" w:lineRule="auto"/>
            </w:pPr>
            <w:r>
              <w:t xml:space="preserve">Process for identifying patient/client/residents and their belongings. 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5B0AF6B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76468691" w14:textId="77777777" w:rsidR="005D2809" w:rsidRDefault="005D2809" w:rsidP="00AE6A04">
            <w:pPr>
              <w:jc w:val="center"/>
            </w:pPr>
          </w:p>
        </w:tc>
      </w:tr>
      <w:tr w:rsidR="005D2809" w14:paraId="0E383E05" w14:textId="77777777" w:rsidTr="0B69627B">
        <w:tc>
          <w:tcPr>
            <w:tcW w:w="2590" w:type="dxa"/>
            <w:vMerge w:val="restart"/>
            <w:shd w:val="clear" w:color="auto" w:fill="FFF2CC" w:themeFill="accent4" w:themeFillTint="33"/>
            <w:vAlign w:val="center"/>
          </w:tcPr>
          <w:p w14:paraId="04BB6840" w14:textId="77777777" w:rsidR="005D2809" w:rsidRPr="004C2958" w:rsidRDefault="005D2809" w:rsidP="00AE6A04">
            <w:pPr>
              <w:rPr>
                <w:b/>
              </w:rPr>
            </w:pPr>
            <w:r w:rsidRPr="004C2958">
              <w:rPr>
                <w:b/>
              </w:rPr>
              <w:t>Transportation</w:t>
            </w:r>
          </w:p>
        </w:tc>
        <w:tc>
          <w:tcPr>
            <w:tcW w:w="2590" w:type="dxa"/>
            <w:shd w:val="clear" w:color="auto" w:fill="FFF2CC" w:themeFill="accent4" w:themeFillTint="33"/>
            <w:vAlign w:val="center"/>
          </w:tcPr>
          <w:p w14:paraId="249B15A6" w14:textId="77777777" w:rsidR="005D2809" w:rsidRPr="00BC20FB" w:rsidRDefault="00926E8E" w:rsidP="00AE6A04">
            <w:pPr>
              <w:spacing w:line="276" w:lineRule="auto"/>
            </w:pPr>
            <w:r w:rsidRPr="00BC20FB">
              <w:t>Considerations for t</w:t>
            </w:r>
            <w:r w:rsidR="005D2809" w:rsidRPr="00BC20FB">
              <w:t>ransport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6C9A5632" w14:textId="77777777" w:rsidR="005D2809" w:rsidRDefault="00E65C81" w:rsidP="00AE6A04">
            <w:pPr>
              <w:spacing w:line="276" w:lineRule="auto"/>
            </w:pPr>
            <w:r>
              <w:t>Outline of clinical considerations for choosing the best mode of transport for patient/client/residents.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77E9B4A5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5BC42124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1B5BD686" w14:textId="77777777" w:rsidTr="0B69627B">
        <w:tc>
          <w:tcPr>
            <w:tcW w:w="2590" w:type="dxa"/>
            <w:vMerge/>
            <w:vAlign w:val="center"/>
          </w:tcPr>
          <w:p w14:paraId="1EAFF46D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F2CC" w:themeFill="accent4" w:themeFillTint="33"/>
            <w:vAlign w:val="center"/>
          </w:tcPr>
          <w:p w14:paraId="5F40AC53" w14:textId="77777777" w:rsidR="005D2809" w:rsidRPr="00BC20FB" w:rsidRDefault="00926E8E" w:rsidP="00AE6A04">
            <w:pPr>
              <w:spacing w:line="276" w:lineRule="auto"/>
            </w:pPr>
            <w:r w:rsidRPr="00BC20FB">
              <w:t>Checklist: Loading/u</w:t>
            </w:r>
            <w:r w:rsidR="005D2809" w:rsidRPr="00BC20FB">
              <w:t>nloading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4F1FC4DE" w14:textId="77777777" w:rsidR="005D2809" w:rsidRDefault="00E65C81" w:rsidP="00AE6A04">
            <w:pPr>
              <w:spacing w:line="276" w:lineRule="auto"/>
            </w:pPr>
            <w:r>
              <w:t xml:space="preserve">Checklist to ensure patient/client/resident and their belongings are safely loaded and unloaded for transport. 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10D054E3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35552F2" w14:textId="77777777" w:rsidR="005D2809" w:rsidRDefault="005D2809" w:rsidP="00AE6A04">
            <w:pPr>
              <w:jc w:val="center"/>
            </w:pPr>
          </w:p>
        </w:tc>
      </w:tr>
      <w:tr w:rsidR="005D2809" w14:paraId="22B9D692" w14:textId="77777777" w:rsidTr="0B69627B">
        <w:tc>
          <w:tcPr>
            <w:tcW w:w="2590" w:type="dxa"/>
            <w:vMerge/>
            <w:vAlign w:val="center"/>
          </w:tcPr>
          <w:p w14:paraId="2D418688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FFF2CC" w:themeFill="accent4" w:themeFillTint="33"/>
            <w:vAlign w:val="center"/>
          </w:tcPr>
          <w:p w14:paraId="45D2DD8E" w14:textId="77777777" w:rsidR="005D2809" w:rsidRPr="00BC20FB" w:rsidRDefault="00926E8E" w:rsidP="00AE6A04">
            <w:pPr>
              <w:spacing w:line="276" w:lineRule="auto"/>
            </w:pPr>
            <w:r w:rsidRPr="00BC20FB">
              <w:t>Checklist: During t</w:t>
            </w:r>
            <w:r w:rsidR="005D2809" w:rsidRPr="00BC20FB">
              <w:t>ransport</w:t>
            </w:r>
          </w:p>
        </w:tc>
        <w:tc>
          <w:tcPr>
            <w:tcW w:w="5027" w:type="dxa"/>
            <w:shd w:val="clear" w:color="auto" w:fill="FFF2CC" w:themeFill="accent4" w:themeFillTint="33"/>
          </w:tcPr>
          <w:p w14:paraId="458A7BBC" w14:textId="77777777" w:rsidR="005D2809" w:rsidRDefault="00E65C81" w:rsidP="00AE6A04">
            <w:pPr>
              <w:spacing w:line="276" w:lineRule="auto"/>
            </w:pPr>
            <w:r>
              <w:t>Checklist to ensure critical actions are taking place while in transit with patient/client/residents.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CB9AB65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9F12233" w14:textId="77777777" w:rsidR="005D2809" w:rsidRDefault="005D2809" w:rsidP="00AE6A04">
            <w:pPr>
              <w:jc w:val="center"/>
            </w:pPr>
          </w:p>
        </w:tc>
      </w:tr>
      <w:tr w:rsidR="005D2809" w14:paraId="56A985B8" w14:textId="77777777" w:rsidTr="0B69627B">
        <w:tc>
          <w:tcPr>
            <w:tcW w:w="2590" w:type="dxa"/>
            <w:vMerge w:val="restart"/>
            <w:shd w:val="clear" w:color="auto" w:fill="E2EFD9" w:themeFill="accent6" w:themeFillTint="33"/>
            <w:vAlign w:val="center"/>
          </w:tcPr>
          <w:p w14:paraId="4E6962EC" w14:textId="77777777" w:rsidR="005D2809" w:rsidRPr="00D50946" w:rsidRDefault="00926E8E" w:rsidP="00AE6A04">
            <w:pPr>
              <w:rPr>
                <w:b/>
              </w:rPr>
            </w:pPr>
            <w:r>
              <w:rPr>
                <w:b/>
              </w:rPr>
              <w:t>Reception p</w:t>
            </w:r>
            <w:r w:rsidR="005D2809" w:rsidRPr="004C2958">
              <w:rPr>
                <w:b/>
              </w:rPr>
              <w:t xml:space="preserve">reparedness </w:t>
            </w:r>
          </w:p>
        </w:tc>
        <w:tc>
          <w:tcPr>
            <w:tcW w:w="2590" w:type="dxa"/>
            <w:shd w:val="clear" w:color="auto" w:fill="E2EFD9" w:themeFill="accent6" w:themeFillTint="33"/>
            <w:vAlign w:val="center"/>
          </w:tcPr>
          <w:p w14:paraId="3C04E74E" w14:textId="77777777" w:rsidR="005D2809" w:rsidRPr="00BC20FB" w:rsidRDefault="00926E8E" w:rsidP="00AE6A04">
            <w:pPr>
              <w:spacing w:line="276" w:lineRule="auto"/>
            </w:pPr>
            <w:r w:rsidRPr="00BC20FB">
              <w:t>Checklist: Receiving site p</w:t>
            </w:r>
            <w:r w:rsidR="005D2809" w:rsidRPr="00BC20FB">
              <w:t xml:space="preserve">reparation </w:t>
            </w:r>
          </w:p>
        </w:tc>
        <w:tc>
          <w:tcPr>
            <w:tcW w:w="5027" w:type="dxa"/>
            <w:shd w:val="clear" w:color="auto" w:fill="E2EFD9" w:themeFill="accent6" w:themeFillTint="33"/>
          </w:tcPr>
          <w:p w14:paraId="232A6092" w14:textId="77777777" w:rsidR="005D2809" w:rsidRDefault="00895ECD" w:rsidP="00AE6A04">
            <w:pPr>
              <w:spacing w:line="276" w:lineRule="auto"/>
            </w:pPr>
            <w:r>
              <w:t xml:space="preserve">Checklist to ensure the receiving site is prepared for incoming patient/client/residents.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BC79496" w14:textId="77777777" w:rsidR="005D2809" w:rsidRDefault="005D2809" w:rsidP="00AE6A04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29C0647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79FE9CE9" w14:textId="77777777" w:rsidTr="0B69627B">
        <w:tc>
          <w:tcPr>
            <w:tcW w:w="2590" w:type="dxa"/>
            <w:vMerge/>
            <w:vAlign w:val="center"/>
          </w:tcPr>
          <w:p w14:paraId="407BB8F6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E2EFD9" w:themeFill="accent6" w:themeFillTint="33"/>
            <w:vAlign w:val="center"/>
          </w:tcPr>
          <w:p w14:paraId="65739C64" w14:textId="77777777" w:rsidR="005D2809" w:rsidRPr="00BC20FB" w:rsidRDefault="00926E8E" w:rsidP="00AE6A04">
            <w:pPr>
              <w:spacing w:line="276" w:lineRule="auto"/>
            </w:pPr>
            <w:r w:rsidRPr="00BC20FB">
              <w:t>Job action sheet: Reception c</w:t>
            </w:r>
            <w:r w:rsidR="005D2809" w:rsidRPr="00BC20FB">
              <w:t>oordinator</w:t>
            </w:r>
          </w:p>
        </w:tc>
        <w:tc>
          <w:tcPr>
            <w:tcW w:w="5027" w:type="dxa"/>
            <w:shd w:val="clear" w:color="auto" w:fill="E2EFD9" w:themeFill="accent6" w:themeFillTint="33"/>
          </w:tcPr>
          <w:p w14:paraId="1F439F2B" w14:textId="77777777" w:rsidR="005D2809" w:rsidRDefault="00895ECD" w:rsidP="00AE6A04">
            <w:pPr>
              <w:spacing w:line="276" w:lineRule="auto"/>
            </w:pPr>
            <w:r>
              <w:t>Outline of high-level actions that the site-level reception coordinator must accomplish.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03DEB3F" w14:textId="77777777" w:rsidR="005D2809" w:rsidRDefault="005D2809" w:rsidP="00AE6A04">
            <w:pPr>
              <w:jc w:val="center"/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2769352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61B1646E" w14:textId="77777777" w:rsidTr="0B69627B">
        <w:tc>
          <w:tcPr>
            <w:tcW w:w="2590" w:type="dxa"/>
            <w:vMerge/>
            <w:vAlign w:val="center"/>
          </w:tcPr>
          <w:p w14:paraId="37D682FE" w14:textId="77777777" w:rsidR="005D2809" w:rsidRPr="004C2958" w:rsidRDefault="005D2809" w:rsidP="00AE6A04">
            <w:pPr>
              <w:rPr>
                <w:b/>
              </w:rPr>
            </w:pPr>
          </w:p>
        </w:tc>
        <w:tc>
          <w:tcPr>
            <w:tcW w:w="2590" w:type="dxa"/>
            <w:shd w:val="clear" w:color="auto" w:fill="E2EFD9" w:themeFill="accent6" w:themeFillTint="33"/>
            <w:vAlign w:val="center"/>
          </w:tcPr>
          <w:p w14:paraId="3B6C16ED" w14:textId="77777777" w:rsidR="005D2809" w:rsidRPr="00BC20FB" w:rsidRDefault="00926E8E" w:rsidP="00AE6A04">
            <w:pPr>
              <w:spacing w:line="276" w:lineRule="auto"/>
            </w:pPr>
            <w:r w:rsidRPr="00BC20FB">
              <w:t>Psychosocial c</w:t>
            </w:r>
            <w:r w:rsidR="005D2809" w:rsidRPr="00BC20FB">
              <w:t>onsiderations</w:t>
            </w:r>
          </w:p>
        </w:tc>
        <w:tc>
          <w:tcPr>
            <w:tcW w:w="5027" w:type="dxa"/>
            <w:shd w:val="clear" w:color="auto" w:fill="E2EFD9" w:themeFill="accent6" w:themeFillTint="33"/>
          </w:tcPr>
          <w:p w14:paraId="3CB854F8" w14:textId="77777777" w:rsidR="005D2809" w:rsidRDefault="00895ECD" w:rsidP="00AE6A04">
            <w:pPr>
              <w:spacing w:line="276" w:lineRule="auto"/>
            </w:pPr>
            <w:r>
              <w:t xml:space="preserve">Outline of psychosocial considerations and resources for evacuated patient/client/residents and staff. 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6A083E4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6F0747B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1E7CC0DB" w14:textId="77777777" w:rsidTr="0B69627B">
        <w:tc>
          <w:tcPr>
            <w:tcW w:w="2590" w:type="dxa"/>
            <w:vMerge w:val="restart"/>
            <w:shd w:val="clear" w:color="auto" w:fill="F2F2F2" w:themeFill="background1" w:themeFillShade="F2"/>
            <w:vAlign w:val="center"/>
          </w:tcPr>
          <w:p w14:paraId="6D66B051" w14:textId="77777777" w:rsidR="005D2809" w:rsidRPr="004C2958" w:rsidRDefault="005D2809" w:rsidP="00AE6A04">
            <w:pPr>
              <w:rPr>
                <w:b/>
              </w:rPr>
            </w:pPr>
            <w:r w:rsidRPr="004C2958">
              <w:rPr>
                <w:b/>
              </w:rPr>
              <w:t>Staffing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78703E5" w14:textId="77777777" w:rsidR="005D2809" w:rsidRDefault="005D2809" w:rsidP="00AE6A04">
            <w:pPr>
              <w:spacing w:line="276" w:lineRule="auto"/>
            </w:pPr>
            <w:r>
              <w:t xml:space="preserve">Considerations </w:t>
            </w:r>
            <w:r w:rsidR="00926E8E">
              <w:t>for s</w:t>
            </w:r>
            <w:r>
              <w:t>taffing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14:paraId="31AD3465" w14:textId="77777777" w:rsidR="005D2809" w:rsidRDefault="00895ECD" w:rsidP="00AE6A04">
            <w:pPr>
              <w:spacing w:line="276" w:lineRule="auto"/>
            </w:pPr>
            <w:r>
              <w:t>Outline of lev</w:t>
            </w:r>
            <w:r w:rsidR="00DF2AEC">
              <w:t>el and type of staffing requirements</w:t>
            </w:r>
            <w:r>
              <w:t xml:space="preserve"> at various stages of evacuation.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BFD61D" w14:textId="77777777" w:rsidR="005D2809" w:rsidRDefault="005D2809" w:rsidP="00AE6A04">
            <w:pPr>
              <w:jc w:val="center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686050E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7506B3CC" w14:textId="77777777" w:rsidTr="0B69627B">
        <w:tc>
          <w:tcPr>
            <w:tcW w:w="2590" w:type="dxa"/>
            <w:vMerge/>
          </w:tcPr>
          <w:p w14:paraId="32FF5213" w14:textId="77777777" w:rsidR="005D2809" w:rsidRDefault="005D2809" w:rsidP="00AE6A04"/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07FC6571" w14:textId="77777777" w:rsidR="005D2809" w:rsidRDefault="00926E8E" w:rsidP="00AE6A04">
            <w:pPr>
              <w:spacing w:line="276" w:lineRule="auto"/>
            </w:pPr>
            <w:r>
              <w:t>Mobilized staff t</w:t>
            </w:r>
            <w:r w:rsidR="005D2809">
              <w:t>racker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14:paraId="78CC5EEA" w14:textId="77777777" w:rsidR="005D2809" w:rsidRDefault="00895ECD" w:rsidP="00AE6A04">
            <w:pPr>
              <w:spacing w:line="276" w:lineRule="auto"/>
            </w:pPr>
            <w:r>
              <w:t xml:space="preserve">Process for tracking staff that accompany patient/client/residents during evacuation.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362200E" w14:textId="77777777" w:rsidR="005D2809" w:rsidRDefault="005D2809" w:rsidP="00AE6A04">
            <w:pPr>
              <w:jc w:val="center"/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674AC66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</w:tr>
      <w:tr w:rsidR="005D2809" w14:paraId="3E9944C1" w14:textId="77777777" w:rsidTr="0B69627B">
        <w:tc>
          <w:tcPr>
            <w:tcW w:w="2590" w:type="dxa"/>
            <w:vMerge/>
          </w:tcPr>
          <w:p w14:paraId="1D2C84EF" w14:textId="77777777" w:rsidR="005D2809" w:rsidRDefault="005D2809" w:rsidP="00AE6A04"/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4FF486FC" w14:textId="77777777" w:rsidR="005D2809" w:rsidRDefault="00926E8E" w:rsidP="00AE6A04">
            <w:pPr>
              <w:spacing w:line="276" w:lineRule="auto"/>
            </w:pPr>
            <w:r>
              <w:t>Mobilized staff f</w:t>
            </w:r>
            <w:r w:rsidR="005D2809">
              <w:t>orm</w:t>
            </w:r>
          </w:p>
        </w:tc>
        <w:tc>
          <w:tcPr>
            <w:tcW w:w="5027" w:type="dxa"/>
            <w:shd w:val="clear" w:color="auto" w:fill="F2F2F2" w:themeFill="background1" w:themeFillShade="F2"/>
          </w:tcPr>
          <w:p w14:paraId="72EB5A4B" w14:textId="77777777" w:rsidR="005D2809" w:rsidRDefault="00D961B8" w:rsidP="00AE6A04">
            <w:pPr>
              <w:spacing w:line="276" w:lineRule="auto"/>
            </w:pPr>
            <w:r>
              <w:t xml:space="preserve">Form to be filled out for each staff that accompanies patient/client/residents during evacuation. 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9F3ECE7" w14:textId="77777777" w:rsidR="005D2809" w:rsidRDefault="007F2A3D" w:rsidP="00AE6A04">
            <w:pPr>
              <w:jc w:val="center"/>
            </w:pPr>
            <w:r w:rsidRPr="007F2A3D">
              <w:rPr>
                <w:b/>
                <w:sz w:val="24"/>
              </w:rPr>
              <w:t>X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D424EC" w14:textId="77777777" w:rsidR="005D2809" w:rsidRDefault="005D2809" w:rsidP="00AE6A04">
            <w:pPr>
              <w:jc w:val="center"/>
            </w:pPr>
          </w:p>
        </w:tc>
      </w:tr>
    </w:tbl>
    <w:p w14:paraId="18EF83D8" w14:textId="77777777" w:rsidR="006D2F52" w:rsidRDefault="006D2F52"/>
    <w:sectPr w:rsidR="006D2F52" w:rsidSect="00AE6A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8B8B" w14:textId="77777777" w:rsidR="00051836" w:rsidRDefault="00051836" w:rsidP="00051836">
      <w:pPr>
        <w:spacing w:after="0" w:line="240" w:lineRule="auto"/>
      </w:pPr>
      <w:r>
        <w:separator/>
      </w:r>
    </w:p>
  </w:endnote>
  <w:endnote w:type="continuationSeparator" w:id="0">
    <w:p w14:paraId="0E4CA459" w14:textId="77777777" w:rsidR="00051836" w:rsidRDefault="00051836" w:rsidP="0005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7920" w14:textId="77777777" w:rsidR="00B45D6B" w:rsidRDefault="00B45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5DA6" w14:textId="77777777" w:rsidR="00051836" w:rsidRPr="007B79CB" w:rsidRDefault="003C69CB" w:rsidP="00051836">
    <w:pPr>
      <w:pStyle w:val="Footer"/>
      <w:tabs>
        <w:tab w:val="clear" w:pos="4680"/>
        <w:tab w:val="center" w:pos="4820"/>
      </w:tabs>
      <w:spacing w:before="120" w:after="120"/>
      <w:jc w:val="center"/>
    </w:pPr>
    <w:r>
      <w:rPr>
        <w:rStyle w:val="Heading1Char"/>
        <w:sz w:val="22"/>
        <w:szCs w:val="22"/>
      </w:rPr>
      <w:pict w14:anchorId="2662ACD4">
        <v:rect id="_x0000_i1026" style="width:9in;height:2pt" o:hralign="center" o:hrstd="t" o:hrnoshade="t" o:hr="t" fillcolor="#a5a5a5 [3206]" stroked="f"/>
      </w:pict>
    </w:r>
  </w:p>
  <w:p w14:paraId="223A9FC5" w14:textId="0171780F" w:rsidR="00051836" w:rsidRPr="007B79CB" w:rsidRDefault="003C69CB" w:rsidP="00051836">
    <w:pPr>
      <w:pStyle w:val="Footer"/>
      <w:tabs>
        <w:tab w:val="clear" w:pos="4680"/>
        <w:tab w:val="center" w:pos="4820"/>
      </w:tabs>
      <w:jc w:val="center"/>
    </w:pPr>
    <w:sdt>
      <w:sdtPr>
        <w:id w:val="936796078"/>
        <w:date w:fullDate="2022-10-14T00:00:00Z">
          <w:dateFormat w:val="MMMM yyyy"/>
          <w:lid w:val="en-CA"/>
          <w:storeMappedDataAs w:val="dateTime"/>
          <w:calendar w:val="gregorian"/>
        </w:date>
      </w:sdtPr>
      <w:sdtEndPr/>
      <w:sdtContent>
        <w:r w:rsidR="005B0761">
          <w:t>October 2022</w:t>
        </w:r>
      </w:sdtContent>
    </w:sdt>
    <w:r w:rsidR="00051836" w:rsidRPr="007B79CB">
      <w:tab/>
    </w:r>
    <w:sdt>
      <w:sdtPr>
        <w:id w:val="70698544"/>
        <w:docPartObj>
          <w:docPartGallery w:val="Page Numbers (Bottom of Page)"/>
          <w:docPartUnique/>
        </w:docPartObj>
      </w:sdtPr>
      <w:sdtEndPr/>
      <w:sdtContent>
        <w:sdt>
          <w:sdtPr>
            <w:id w:val="2019889695"/>
            <w:docPartObj>
              <w:docPartGallery w:val="Page Numbers (Top of Page)"/>
              <w:docPartUnique/>
            </w:docPartObj>
          </w:sdtPr>
          <w:sdtEndPr/>
          <w:sdtContent>
            <w:r w:rsidR="00051836" w:rsidRPr="007B79CB">
              <w:tab/>
              <w:t xml:space="preserve">Page </w:t>
            </w:r>
            <w:r w:rsidR="00051836">
              <w:rPr>
                <w:bCs/>
              </w:rPr>
              <w:fldChar w:fldCharType="begin"/>
            </w:r>
            <w:r w:rsidR="00051836">
              <w:rPr>
                <w:bCs/>
              </w:rPr>
              <w:instrText xml:space="preserve"> PAGE  </w:instrText>
            </w:r>
            <w:r w:rsidR="00051836">
              <w:rPr>
                <w:bCs/>
              </w:rPr>
              <w:fldChar w:fldCharType="separate"/>
            </w:r>
            <w:r w:rsidR="00C84856">
              <w:rPr>
                <w:bCs/>
                <w:noProof/>
              </w:rPr>
              <w:t>2</w:t>
            </w:r>
            <w:r w:rsidR="00051836">
              <w:rPr>
                <w:bCs/>
              </w:rPr>
              <w:fldChar w:fldCharType="end"/>
            </w:r>
            <w:r w:rsidR="00051836" w:rsidRPr="007B79CB">
              <w:t xml:space="preserve"> of </w:t>
            </w:r>
            <w:r w:rsidR="00051836">
              <w:rPr>
                <w:bCs/>
              </w:rPr>
              <w:fldChar w:fldCharType="begin"/>
            </w:r>
            <w:r w:rsidR="00051836">
              <w:rPr>
                <w:bCs/>
              </w:rPr>
              <w:instrText xml:space="preserve"> NUMPAGES  </w:instrText>
            </w:r>
            <w:r w:rsidR="00051836">
              <w:rPr>
                <w:bCs/>
              </w:rPr>
              <w:fldChar w:fldCharType="separate"/>
            </w:r>
            <w:r w:rsidR="00C84856">
              <w:rPr>
                <w:bCs/>
                <w:noProof/>
              </w:rPr>
              <w:t>2</w:t>
            </w:r>
            <w:r w:rsidR="00051836">
              <w:rPr>
                <w:bCs/>
              </w:rPr>
              <w:fldChar w:fldCharType="end"/>
            </w:r>
          </w:sdtContent>
        </w:sdt>
      </w:sdtContent>
    </w:sdt>
  </w:p>
  <w:p w14:paraId="3E1002B6" w14:textId="77777777" w:rsidR="00051836" w:rsidRDefault="00AE6A04" w:rsidP="00AE6A04">
    <w:pPr>
      <w:pStyle w:val="Footer"/>
      <w:tabs>
        <w:tab w:val="clear" w:pos="4680"/>
        <w:tab w:val="clear" w:pos="9360"/>
        <w:tab w:val="left" w:pos="40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62A" w14:textId="77777777" w:rsidR="00B45D6B" w:rsidRDefault="00B45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C63E" w14:textId="77777777" w:rsidR="00051836" w:rsidRDefault="00051836" w:rsidP="00051836">
      <w:pPr>
        <w:spacing w:after="0" w:line="240" w:lineRule="auto"/>
      </w:pPr>
      <w:r>
        <w:separator/>
      </w:r>
    </w:p>
  </w:footnote>
  <w:footnote w:type="continuationSeparator" w:id="0">
    <w:p w14:paraId="11969822" w14:textId="77777777" w:rsidR="00051836" w:rsidRDefault="00051836" w:rsidP="00051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160D" w14:textId="77777777" w:rsidR="00B45D6B" w:rsidRDefault="00B45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7954" w14:textId="699E5106" w:rsidR="00051836" w:rsidRDefault="00051836" w:rsidP="00051836">
    <w:pPr>
      <w:pStyle w:val="Header"/>
      <w:ind w:left="3402"/>
      <w:jc w:val="right"/>
      <w:rPr>
        <w:rStyle w:val="Heading1Char"/>
      </w:rPr>
    </w:pPr>
    <w:r>
      <w:tab/>
    </w:r>
    <w:sdt>
      <w:sdtPr>
        <w:rPr>
          <w:rStyle w:val="Heading1Char"/>
          <w:rFonts w:asciiTheme="minorHAnsi" w:hAnsiTheme="minorHAnsi"/>
        </w:rPr>
        <w:alias w:val="Title"/>
        <w:tag w:val=""/>
        <w:id w:val="209350661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r w:rsidR="00717EF8">
          <w:rPr>
            <w:rStyle w:val="Heading1Char"/>
            <w:rFonts w:asciiTheme="minorHAnsi" w:hAnsiTheme="minorHAnsi"/>
          </w:rPr>
          <w:t>Tool reference guide</w:t>
        </w:r>
      </w:sdtContent>
    </w:sdt>
  </w:p>
  <w:sdt>
    <w:sdtPr>
      <w:rPr>
        <w:rStyle w:val="DocumentSubtitle"/>
        <w:rFonts w:asciiTheme="minorHAnsi" w:hAnsiTheme="minorHAnsi"/>
      </w:rPr>
      <w:alias w:val="Document Subtitle"/>
      <w:tag w:val=""/>
      <w:id w:val="-455564353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>
      <w:rPr>
        <w:rStyle w:val="DocumentSubtitle"/>
      </w:rPr>
    </w:sdtEndPr>
    <w:sdtContent>
      <w:p w14:paraId="648B8AD1" w14:textId="77777777" w:rsidR="00051836" w:rsidRPr="00D01EE1" w:rsidRDefault="00926E8E" w:rsidP="00051836">
        <w:pPr>
          <w:pStyle w:val="Header"/>
          <w:ind w:left="2880"/>
          <w:jc w:val="right"/>
          <w:rPr>
            <w:rStyle w:val="DocumentSubtitle"/>
            <w:rFonts w:asciiTheme="minorHAnsi" w:hAnsiTheme="minorHAnsi"/>
          </w:rPr>
        </w:pPr>
        <w:r>
          <w:rPr>
            <w:rStyle w:val="DocumentSubtitle"/>
            <w:rFonts w:asciiTheme="minorHAnsi" w:hAnsiTheme="minorHAnsi"/>
          </w:rPr>
          <w:t>Inter- and Intra-Health Authority Relocation</w:t>
        </w:r>
      </w:p>
    </w:sdtContent>
  </w:sdt>
  <w:p w14:paraId="58596524" w14:textId="77777777" w:rsidR="00051836" w:rsidRDefault="003C69CB" w:rsidP="00051836">
    <w:pPr>
      <w:pStyle w:val="Header"/>
    </w:pPr>
    <w:r>
      <w:rPr>
        <w:rStyle w:val="Heading1Char"/>
        <w:sz w:val="22"/>
        <w:szCs w:val="22"/>
      </w:rPr>
      <w:pict w14:anchorId="554A81CE">
        <v:rect id="_x0000_i1025" style="width:462.4pt;height:2pt" o:hralign="center" o:hrstd="t" o:hrnoshade="t" o:hr="t" fillcolor="#d4241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632E" w14:textId="77777777" w:rsidR="00B45D6B" w:rsidRDefault="00B45D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1FC"/>
    <w:rsid w:val="00051836"/>
    <w:rsid w:val="00067517"/>
    <w:rsid w:val="000E11C6"/>
    <w:rsid w:val="001B42C2"/>
    <w:rsid w:val="003C69CB"/>
    <w:rsid w:val="004C2958"/>
    <w:rsid w:val="004E552C"/>
    <w:rsid w:val="00504B41"/>
    <w:rsid w:val="00544998"/>
    <w:rsid w:val="005B0761"/>
    <w:rsid w:val="005D2809"/>
    <w:rsid w:val="005D3558"/>
    <w:rsid w:val="00614EBB"/>
    <w:rsid w:val="00670349"/>
    <w:rsid w:val="006D2F52"/>
    <w:rsid w:val="00717EF8"/>
    <w:rsid w:val="00776B5B"/>
    <w:rsid w:val="007F2A3D"/>
    <w:rsid w:val="00847B95"/>
    <w:rsid w:val="008853C7"/>
    <w:rsid w:val="00895B25"/>
    <w:rsid w:val="00895ECD"/>
    <w:rsid w:val="00901A09"/>
    <w:rsid w:val="009233B6"/>
    <w:rsid w:val="00926E8E"/>
    <w:rsid w:val="00961C72"/>
    <w:rsid w:val="00A27DDA"/>
    <w:rsid w:val="00AE6A04"/>
    <w:rsid w:val="00B23958"/>
    <w:rsid w:val="00B26DAD"/>
    <w:rsid w:val="00B45D6B"/>
    <w:rsid w:val="00BC20FB"/>
    <w:rsid w:val="00BF1258"/>
    <w:rsid w:val="00C12216"/>
    <w:rsid w:val="00C67353"/>
    <w:rsid w:val="00C71926"/>
    <w:rsid w:val="00C84856"/>
    <w:rsid w:val="00D01EE1"/>
    <w:rsid w:val="00D05182"/>
    <w:rsid w:val="00D50946"/>
    <w:rsid w:val="00D961B8"/>
    <w:rsid w:val="00DF2AEC"/>
    <w:rsid w:val="00E545F6"/>
    <w:rsid w:val="00E65C81"/>
    <w:rsid w:val="00E75B52"/>
    <w:rsid w:val="00EA21FC"/>
    <w:rsid w:val="00F37AE0"/>
    <w:rsid w:val="0B69627B"/>
    <w:rsid w:val="2CD0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."/>
  <w:listSeparator w:val=","/>
  <w14:docId w14:val="69CD9AEB"/>
  <w15:chartTrackingRefBased/>
  <w15:docId w15:val="{99F51C37-DEFA-42DD-9E15-FA2B7816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6"/>
  </w:style>
  <w:style w:type="paragraph" w:styleId="Heading1">
    <w:name w:val="heading 1"/>
    <w:basedOn w:val="Normal"/>
    <w:next w:val="Normal"/>
    <w:link w:val="Heading1Char"/>
    <w:uiPriority w:val="9"/>
    <w:qFormat/>
    <w:rsid w:val="00051836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836"/>
  </w:style>
  <w:style w:type="paragraph" w:styleId="Footer">
    <w:name w:val="footer"/>
    <w:basedOn w:val="Normal"/>
    <w:link w:val="FooterChar"/>
    <w:uiPriority w:val="99"/>
    <w:unhideWhenUsed/>
    <w:rsid w:val="00051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836"/>
  </w:style>
  <w:style w:type="character" w:customStyle="1" w:styleId="Heading1Char">
    <w:name w:val="Heading 1 Char"/>
    <w:basedOn w:val="DefaultParagraphFont"/>
    <w:link w:val="Heading1"/>
    <w:uiPriority w:val="9"/>
    <w:rsid w:val="00051836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DocumentSubtitle">
    <w:name w:val="Document Subtitle"/>
    <w:basedOn w:val="DefaultParagraphFont"/>
    <w:uiPriority w:val="1"/>
    <w:rsid w:val="00051836"/>
    <w:rPr>
      <w:rFonts w:asciiTheme="majorHAnsi" w:hAnsiTheme="majorHAnsi"/>
      <w:sz w:val="32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n5kk xmlns="5c32920b-2cef-411b-abae-746c048451ae" xsi:nil="true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plgl xmlns="5c32920b-2cef-411b-abae-746c048451ae" xsi:nil="true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PHSADOC-1453730257-50</_dlc_DocId>
    <_dlc_DocIdUrl xmlns="bb0eaabd-8237-4495-bdf5-f324c842ead6">
      <Url>https://ewiauthor.phsa.ca/health-emergency-management-bc-site/_layouts/15/DocIdRedir.aspx?ID=PHSADOC-1453730257-50</Url>
      <Description>PHSADOC-1453730257-50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1E082EC70847A54DA7A8D2A975398AB0" ma:contentTypeVersion="18" ma:contentTypeDescription="Create a new document." ma:contentTypeScope="" ma:versionID="2e59ed9556b31477a4a82dcb3f2ba5c2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c32920b-2cef-411b-abae-746c048451ae" targetNamespace="http://schemas.microsoft.com/office/2006/metadata/properties" ma:root="true" ma:fieldsID="e88ee44eecb43fd7d2814d6ad6abad4c" ns2:_="" ns3:_="" ns4:_="">
    <xsd:import namespace="bb0eaabd-8237-4495-bdf5-f324c842ead6"/>
    <xsd:import namespace="4de64c37-ebdf-406a-9f1b-af099cf715f4"/>
    <xsd:import namespace="5c32920b-2cef-411b-abae-746c048451ae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plgl" minOccurs="0"/>
                <xsd:element ref="ns4:n5k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2920b-2cef-411b-abae-746c048451ae" elementFormDefault="qualified">
    <xsd:import namespace="http://schemas.microsoft.com/office/2006/documentManagement/types"/>
    <xsd:import namespace="http://schemas.microsoft.com/office/infopath/2007/PartnerControls"/>
    <xsd:element name="plgl" ma:index="20" nillable="true" ma:displayName="Date last reviewed" ma:internalName="plgl">
      <xsd:simpleType>
        <xsd:restriction base="dms:DateTime"/>
      </xsd:simpleType>
    </xsd:element>
    <xsd:element name="n5kk" ma:index="21" nillable="true" ma:displayName="Owning team" ma:internalName="n5kk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D867D6-DFA3-431F-B5E5-778757DBCC4B}">
  <ds:schemaRefs>
    <ds:schemaRef ds:uri="http://schemas.microsoft.com/office/2006/metadata/properties"/>
    <ds:schemaRef ds:uri="http://schemas.microsoft.com/office/infopath/2007/PartnerControls"/>
    <ds:schemaRef ds:uri="4de64c37-ebdf-406a-9f1b-af099cf715f4"/>
    <ds:schemaRef ds:uri="5c32920b-2cef-411b-abae-746c048451ae"/>
    <ds:schemaRef ds:uri="bb0eaabd-8237-4495-bdf5-f324c842ead6"/>
  </ds:schemaRefs>
</ds:datastoreItem>
</file>

<file path=customXml/itemProps2.xml><?xml version="1.0" encoding="utf-8"?>
<ds:datastoreItem xmlns:ds="http://schemas.openxmlformats.org/officeDocument/2006/customXml" ds:itemID="{61835EA7-A8CC-42FE-82AC-D76ECD341D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ACAC3E8-EFF3-43D0-B355-41D2B6552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5c32920b-2cef-411b-abae-746c04845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41B350-6191-4C29-BA36-901E91465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4</DocSecurity>
  <Lines>18</Lines>
  <Paragraphs>5</Paragraphs>
  <ScaleCrop>false</ScaleCrop>
  <Company>HEMBC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 reference guide</dc:title>
  <dc:subject>Inter- and Intra-Health Authority Relocation</dc:subject>
  <dc:creator>Hertz, Gloria [PHSA]</dc:creator>
  <cp:keywords/>
  <dc:description/>
  <cp:lastModifiedBy>Hinde, Grace [PHSA]</cp:lastModifiedBy>
  <cp:revision>2</cp:revision>
  <dcterms:created xsi:type="dcterms:W3CDTF">2024-07-05T00:11:00Z</dcterms:created>
  <dcterms:modified xsi:type="dcterms:W3CDTF">2024-07-05T00:11:00Z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0x01010027C4DD6E2671BA48BC4E45ABF1AFDAAB001E082EC70847A54DA7A8D2A975398AB0</vt:lpwstr>
  </property>
  <property fmtid="{D5CDD505-2E9C-101B-9397-08002B2CF9AE}" pid="3" name="_dlc_DocIdItemGuid">
    <vt:lpwstr>31a0bc1e-de88-4648-9551-8f3207da4738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