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96E37" w14:textId="77777777" w:rsidR="001A64C7" w:rsidRPr="001A64C7" w:rsidRDefault="111BFB5D" w:rsidP="001A64C7">
      <w:pPr>
        <w:spacing w:after="0"/>
        <w:jc w:val="center"/>
        <w:rPr>
          <w:b/>
          <w:bCs/>
          <w:sz w:val="30"/>
          <w:szCs w:val="30"/>
        </w:rPr>
      </w:pPr>
      <w:r w:rsidRPr="001A64C7">
        <w:rPr>
          <w:b/>
          <w:bCs/>
          <w:sz w:val="30"/>
          <w:szCs w:val="30"/>
        </w:rPr>
        <w:t>Terms of use</w:t>
      </w:r>
    </w:p>
    <w:p w14:paraId="585E7573" w14:textId="3ACC944B" w:rsidR="001A64C7" w:rsidRDefault="001A64C7" w:rsidP="001A64C7">
      <w:pPr>
        <w:pStyle w:val="Heading2"/>
        <w:jc w:val="center"/>
        <w:rPr>
          <w:rFonts w:asciiTheme="minorHAnsi" w:eastAsiaTheme="minorHAnsi" w:hAnsiTheme="minorHAnsi" w:cstheme="minorBidi"/>
          <w:color w:val="auto"/>
        </w:rPr>
      </w:pPr>
      <w:r w:rsidRPr="001A64C7">
        <w:rPr>
          <w:rFonts w:asciiTheme="minorHAnsi" w:eastAsiaTheme="minorHAnsi" w:hAnsiTheme="minorHAnsi" w:cstheme="minorBidi"/>
          <w:color w:val="auto"/>
        </w:rPr>
        <w:t>Inter- and Intra- Health Authority Relocation (IIHAR) toolkit</w:t>
      </w:r>
    </w:p>
    <w:p w14:paraId="59D6CADF" w14:textId="3153011D" w:rsidR="00CB2946" w:rsidRPr="001A64C7" w:rsidRDefault="3E66B67E" w:rsidP="001A64C7">
      <w:pPr>
        <w:pStyle w:val="Heading2"/>
      </w:pPr>
      <w:r w:rsidRPr="001A64C7">
        <w:t>Background</w:t>
      </w:r>
    </w:p>
    <w:p w14:paraId="546E8455" w14:textId="632AC0BD" w:rsidR="2DEFBCEA" w:rsidRDefault="680CE278" w:rsidP="63EB2787">
      <w:pPr>
        <w:rPr>
          <w:sz w:val="24"/>
          <w:szCs w:val="24"/>
        </w:rPr>
      </w:pPr>
      <w:r w:rsidRPr="63EB2787">
        <w:rPr>
          <w:sz w:val="24"/>
          <w:szCs w:val="24"/>
        </w:rPr>
        <w:t>Following</w:t>
      </w:r>
      <w:r w:rsidR="2169E456" w:rsidRPr="63EB2787">
        <w:rPr>
          <w:sz w:val="24"/>
          <w:szCs w:val="24"/>
        </w:rPr>
        <w:t xml:space="preserve"> the 2021 wildfire evacuations, </w:t>
      </w:r>
      <w:r w:rsidR="7074252E" w:rsidRPr="63EB2787">
        <w:rPr>
          <w:sz w:val="24"/>
          <w:szCs w:val="24"/>
        </w:rPr>
        <w:t xml:space="preserve">debriefs </w:t>
      </w:r>
      <w:r w:rsidR="2169E456" w:rsidRPr="63EB2787">
        <w:rPr>
          <w:sz w:val="24"/>
          <w:szCs w:val="24"/>
        </w:rPr>
        <w:t>recognized climate change as a cause for more frequent health care facility evacuations due to wildfires, floods, and other disasters</w:t>
      </w:r>
      <w:r w:rsidR="486080EF" w:rsidRPr="63EB2787">
        <w:rPr>
          <w:sz w:val="24"/>
          <w:szCs w:val="24"/>
        </w:rPr>
        <w:t>, and pinpointed improvement areas to increase preparedness to such events</w:t>
      </w:r>
      <w:r w:rsidR="2169E456" w:rsidRPr="63EB2787">
        <w:rPr>
          <w:sz w:val="24"/>
          <w:szCs w:val="24"/>
        </w:rPr>
        <w:t>. Based on the</w:t>
      </w:r>
      <w:r w:rsidR="6C4FF462" w:rsidRPr="63EB2787">
        <w:rPr>
          <w:sz w:val="24"/>
          <w:szCs w:val="24"/>
        </w:rPr>
        <w:t>se</w:t>
      </w:r>
      <w:r w:rsidR="2169E456" w:rsidRPr="63EB2787">
        <w:rPr>
          <w:sz w:val="24"/>
          <w:szCs w:val="24"/>
        </w:rPr>
        <w:t xml:space="preserve"> learnings</w:t>
      </w:r>
      <w:r w:rsidR="1DADC0C3" w:rsidRPr="63EB2787">
        <w:rPr>
          <w:sz w:val="24"/>
          <w:szCs w:val="24"/>
        </w:rPr>
        <w:t xml:space="preserve"> and the need to enhance emergency management and disaster preparedness within health care systems</w:t>
      </w:r>
      <w:r w:rsidR="2169E456" w:rsidRPr="63EB2787">
        <w:rPr>
          <w:sz w:val="24"/>
          <w:szCs w:val="24"/>
        </w:rPr>
        <w:t xml:space="preserve">, a province wide </w:t>
      </w:r>
      <w:r w:rsidR="7A74C972" w:rsidRPr="63EB2787">
        <w:rPr>
          <w:sz w:val="24"/>
          <w:szCs w:val="24"/>
        </w:rPr>
        <w:t>working group</w:t>
      </w:r>
      <w:r w:rsidR="2169E456" w:rsidRPr="63EB2787">
        <w:rPr>
          <w:sz w:val="24"/>
          <w:szCs w:val="24"/>
        </w:rPr>
        <w:t xml:space="preserve"> was formed to focus on safely moving</w:t>
      </w:r>
      <w:r w:rsidR="2C815830" w:rsidRPr="63EB2787">
        <w:rPr>
          <w:sz w:val="24"/>
          <w:szCs w:val="24"/>
        </w:rPr>
        <w:t xml:space="preserve"> evacuees, with a special focus on</w:t>
      </w:r>
      <w:r w:rsidR="2169E456" w:rsidRPr="63EB2787">
        <w:rPr>
          <w:sz w:val="24"/>
          <w:szCs w:val="24"/>
        </w:rPr>
        <w:t xml:space="preserve"> </w:t>
      </w:r>
      <w:r w:rsidR="6D1C5146" w:rsidRPr="63EB2787">
        <w:rPr>
          <w:sz w:val="24"/>
          <w:szCs w:val="24"/>
        </w:rPr>
        <w:t xml:space="preserve">long-term care (LTC), assisted living (AL) and independent living (IL) </w:t>
      </w:r>
      <w:r w:rsidR="2D6FBD2E" w:rsidRPr="63EB2787">
        <w:rPr>
          <w:sz w:val="24"/>
          <w:szCs w:val="24"/>
        </w:rPr>
        <w:t>settings</w:t>
      </w:r>
      <w:r w:rsidR="2169E456" w:rsidRPr="63EB2787">
        <w:rPr>
          <w:sz w:val="24"/>
          <w:szCs w:val="24"/>
        </w:rPr>
        <w:t xml:space="preserve">. </w:t>
      </w:r>
    </w:p>
    <w:p w14:paraId="12B4EE16" w14:textId="79494C06" w:rsidR="2169E456" w:rsidRDefault="2169E456" w:rsidP="2DEFBCEA">
      <w:pPr>
        <w:rPr>
          <w:sz w:val="24"/>
          <w:szCs w:val="24"/>
        </w:rPr>
      </w:pPr>
      <w:r w:rsidRPr="63EB2787">
        <w:rPr>
          <w:sz w:val="24"/>
          <w:szCs w:val="24"/>
        </w:rPr>
        <w:t>A major output of this team was the I</w:t>
      </w:r>
      <w:r w:rsidR="059E5340" w:rsidRPr="63EB2787">
        <w:rPr>
          <w:sz w:val="24"/>
          <w:szCs w:val="24"/>
        </w:rPr>
        <w:t>nter- and Intra- Health Authority Relocation (IIHAR) toolkit</w:t>
      </w:r>
      <w:r w:rsidR="4304A09D" w:rsidRPr="63EB2787">
        <w:rPr>
          <w:sz w:val="24"/>
          <w:szCs w:val="24"/>
        </w:rPr>
        <w:t>, which includes 21 tools and resources designed to standardize and enhance evacuation processes</w:t>
      </w:r>
      <w:r w:rsidRPr="63EB2787">
        <w:rPr>
          <w:sz w:val="24"/>
          <w:szCs w:val="24"/>
        </w:rPr>
        <w:t xml:space="preserve">. </w:t>
      </w:r>
      <w:r w:rsidR="7374B0CE" w:rsidRPr="63EB2787">
        <w:rPr>
          <w:sz w:val="24"/>
          <w:szCs w:val="24"/>
        </w:rPr>
        <w:t xml:space="preserve">This toolkit </w:t>
      </w:r>
      <w:r w:rsidR="645B522A" w:rsidRPr="63EB2787">
        <w:rPr>
          <w:sz w:val="24"/>
          <w:szCs w:val="24"/>
        </w:rPr>
        <w:t xml:space="preserve">embeds a patient-centered, culturally safe, and risk-based approach throughout </w:t>
      </w:r>
      <w:r w:rsidR="09453D76" w:rsidRPr="63EB2787">
        <w:rPr>
          <w:sz w:val="24"/>
          <w:szCs w:val="24"/>
        </w:rPr>
        <w:t>evacuation, including activation, coordination, preparedness, transportation, and reception</w:t>
      </w:r>
      <w:r w:rsidR="645B522A" w:rsidRPr="63EB2787">
        <w:rPr>
          <w:sz w:val="24"/>
          <w:szCs w:val="24"/>
        </w:rPr>
        <w:t>. The toolkit aims to enhance preparedness, clarify roles and responsibilities, improve information management, and facilitate effective communication among all stakeholders.</w:t>
      </w:r>
    </w:p>
    <w:p w14:paraId="56BE8A14" w14:textId="429BB399" w:rsidR="00C70F42" w:rsidRPr="001A64C7" w:rsidRDefault="6A6A80F5" w:rsidP="63EB2787">
      <w:pPr>
        <w:rPr>
          <w:sz w:val="24"/>
          <w:szCs w:val="24"/>
        </w:rPr>
      </w:pPr>
      <w:r w:rsidRPr="63EB2787">
        <w:rPr>
          <w:sz w:val="24"/>
          <w:szCs w:val="24"/>
        </w:rPr>
        <w:t xml:space="preserve">The working group was led by Health Emergency Management BC (HEMBC) and included representatives from across all regional health authorities, the First Nations Health Authority, and the Ministry of Health Emergency Management Unit. </w:t>
      </w:r>
      <w:r w:rsidR="5A634EED" w:rsidRPr="63EB2787">
        <w:rPr>
          <w:sz w:val="24"/>
          <w:szCs w:val="24"/>
        </w:rPr>
        <w:t>The development process was inclusive, involving broad consultation sessions with a diverse group of stakeholders, including operational, clinical, and medical representatives from health authorities, BC Emergency Health Services (BCEHS), and various community partners. This engagement ensured the toolkit addressed the multifaceted aspects of emergency evacuations, from logistical challenges to the nuanced needs of diverse and high-risk patient populations.</w:t>
      </w:r>
      <w:r w:rsidR="0D292692" w:rsidRPr="63EB2787">
        <w:rPr>
          <w:sz w:val="24"/>
          <w:szCs w:val="24"/>
        </w:rPr>
        <w:t xml:space="preserve"> </w:t>
      </w:r>
      <w:r w:rsidR="4C6C1CD5" w:rsidRPr="63EB2787">
        <w:rPr>
          <w:sz w:val="24"/>
          <w:szCs w:val="24"/>
        </w:rPr>
        <w:t>The toolkit is consistently reviewed and updated to ensure ongoing quality assurance and wise practices</w:t>
      </w:r>
      <w:r w:rsidR="7DEAAF26" w:rsidRPr="63EB2787">
        <w:rPr>
          <w:sz w:val="24"/>
          <w:szCs w:val="24"/>
        </w:rPr>
        <w:t xml:space="preserve"> are adopted</w:t>
      </w:r>
      <w:r w:rsidR="4C6C1CD5" w:rsidRPr="63EB2787">
        <w:rPr>
          <w:sz w:val="24"/>
          <w:szCs w:val="24"/>
        </w:rPr>
        <w:t xml:space="preserve">. </w:t>
      </w:r>
    </w:p>
    <w:p w14:paraId="027B7240" w14:textId="7BE662CA" w:rsidR="00C70F42" w:rsidRPr="00CB2946" w:rsidRDefault="00CB2946" w:rsidP="001A64C7">
      <w:pPr>
        <w:pStyle w:val="Heading2"/>
      </w:pPr>
      <w:r w:rsidRPr="63EB2787">
        <w:t>Disclaimer</w:t>
      </w:r>
      <w:r w:rsidR="00D70417" w:rsidRPr="63EB2787">
        <w:t xml:space="preserve"> </w:t>
      </w:r>
    </w:p>
    <w:p w14:paraId="0D4EE4ED" w14:textId="6AABED12" w:rsidR="63EB2787" w:rsidRDefault="5440B05D" w:rsidP="63EB2787">
      <w:pPr>
        <w:rPr>
          <w:sz w:val="24"/>
          <w:szCs w:val="24"/>
        </w:rPr>
      </w:pPr>
      <w:r w:rsidRPr="63EB2787">
        <w:rPr>
          <w:sz w:val="24"/>
          <w:szCs w:val="24"/>
        </w:rPr>
        <w:t>Th</w:t>
      </w:r>
      <w:r w:rsidR="51FC008A" w:rsidRPr="63EB2787">
        <w:rPr>
          <w:sz w:val="24"/>
          <w:szCs w:val="24"/>
        </w:rPr>
        <w:t>e</w:t>
      </w:r>
      <w:r w:rsidR="611F1772" w:rsidRPr="63EB2787">
        <w:rPr>
          <w:sz w:val="24"/>
          <w:szCs w:val="24"/>
        </w:rPr>
        <w:t xml:space="preserve"> </w:t>
      </w:r>
      <w:r w:rsidR="51FC008A" w:rsidRPr="63EB2787">
        <w:rPr>
          <w:sz w:val="24"/>
          <w:szCs w:val="24"/>
        </w:rPr>
        <w:t xml:space="preserve">IIHAR </w:t>
      </w:r>
      <w:r w:rsidR="6B5A101A" w:rsidRPr="63EB2787">
        <w:rPr>
          <w:sz w:val="24"/>
          <w:szCs w:val="24"/>
        </w:rPr>
        <w:t>t</w:t>
      </w:r>
      <w:r w:rsidR="51FC008A" w:rsidRPr="63EB2787">
        <w:rPr>
          <w:sz w:val="24"/>
          <w:szCs w:val="24"/>
        </w:rPr>
        <w:t>ool</w:t>
      </w:r>
      <w:r w:rsidR="3E66B67E" w:rsidRPr="63EB2787">
        <w:rPr>
          <w:sz w:val="24"/>
          <w:szCs w:val="24"/>
        </w:rPr>
        <w:t>kit</w:t>
      </w:r>
      <w:r w:rsidR="51FC008A" w:rsidRPr="63EB2787">
        <w:rPr>
          <w:sz w:val="24"/>
          <w:szCs w:val="24"/>
        </w:rPr>
        <w:t xml:space="preserve"> </w:t>
      </w:r>
      <w:r w:rsidR="1345C7AB" w:rsidRPr="63EB2787">
        <w:rPr>
          <w:sz w:val="24"/>
          <w:szCs w:val="24"/>
        </w:rPr>
        <w:t xml:space="preserve">may </w:t>
      </w:r>
      <w:r w:rsidR="60EA5160" w:rsidRPr="63EB2787">
        <w:rPr>
          <w:sz w:val="24"/>
          <w:szCs w:val="24"/>
        </w:rPr>
        <w:t>be shared</w:t>
      </w:r>
      <w:r w:rsidR="51FC008A" w:rsidRPr="63EB2787">
        <w:rPr>
          <w:sz w:val="24"/>
          <w:szCs w:val="24"/>
        </w:rPr>
        <w:t xml:space="preserve"> to assist with</w:t>
      </w:r>
      <w:r w:rsidR="638A8E04" w:rsidRPr="63EB2787">
        <w:rPr>
          <w:sz w:val="24"/>
          <w:szCs w:val="24"/>
        </w:rPr>
        <w:t xml:space="preserve"> and support</w:t>
      </w:r>
      <w:r w:rsidR="51FC008A" w:rsidRPr="63EB2787">
        <w:rPr>
          <w:sz w:val="24"/>
          <w:szCs w:val="24"/>
        </w:rPr>
        <w:t xml:space="preserve"> operational planning </w:t>
      </w:r>
      <w:r w:rsidR="60EA5160" w:rsidRPr="63EB2787">
        <w:rPr>
          <w:sz w:val="24"/>
          <w:szCs w:val="24"/>
        </w:rPr>
        <w:t>for events</w:t>
      </w:r>
      <w:r w:rsidR="1345C7AB" w:rsidRPr="63EB2787">
        <w:rPr>
          <w:sz w:val="24"/>
          <w:szCs w:val="24"/>
        </w:rPr>
        <w:t xml:space="preserve"> that require the relocation of patients</w:t>
      </w:r>
      <w:r w:rsidR="51FC008A" w:rsidRPr="63EB2787">
        <w:rPr>
          <w:sz w:val="24"/>
          <w:szCs w:val="24"/>
        </w:rPr>
        <w:t xml:space="preserve">. The </w:t>
      </w:r>
      <w:r w:rsidR="06728C28" w:rsidRPr="63EB2787">
        <w:rPr>
          <w:sz w:val="24"/>
          <w:szCs w:val="24"/>
        </w:rPr>
        <w:t>decision</w:t>
      </w:r>
      <w:r w:rsidR="51FC008A" w:rsidRPr="63EB2787">
        <w:rPr>
          <w:sz w:val="24"/>
          <w:szCs w:val="24"/>
        </w:rPr>
        <w:t xml:space="preserve"> to use the IIHAR </w:t>
      </w:r>
      <w:r w:rsidR="5E469902" w:rsidRPr="63EB2787">
        <w:rPr>
          <w:sz w:val="24"/>
          <w:szCs w:val="24"/>
        </w:rPr>
        <w:t>t</w:t>
      </w:r>
      <w:r w:rsidR="51FC008A" w:rsidRPr="63EB2787">
        <w:rPr>
          <w:sz w:val="24"/>
          <w:szCs w:val="24"/>
        </w:rPr>
        <w:t>ool</w:t>
      </w:r>
      <w:r w:rsidR="6493B282" w:rsidRPr="63EB2787">
        <w:rPr>
          <w:sz w:val="24"/>
          <w:szCs w:val="24"/>
        </w:rPr>
        <w:t xml:space="preserve">kit </w:t>
      </w:r>
      <w:r w:rsidR="51FC008A" w:rsidRPr="63EB2787">
        <w:rPr>
          <w:sz w:val="24"/>
          <w:szCs w:val="24"/>
        </w:rPr>
        <w:t xml:space="preserve">is the responsibility of </w:t>
      </w:r>
      <w:r w:rsidR="1345C7AB" w:rsidRPr="63EB2787">
        <w:rPr>
          <w:sz w:val="24"/>
          <w:szCs w:val="24"/>
        </w:rPr>
        <w:t>each</w:t>
      </w:r>
      <w:r w:rsidR="51FC008A" w:rsidRPr="63EB2787">
        <w:rPr>
          <w:sz w:val="24"/>
          <w:szCs w:val="24"/>
        </w:rPr>
        <w:t xml:space="preserve"> organization</w:t>
      </w:r>
      <w:r w:rsidR="6B12A3E9" w:rsidRPr="63EB2787">
        <w:rPr>
          <w:sz w:val="24"/>
          <w:szCs w:val="24"/>
        </w:rPr>
        <w:t xml:space="preserve"> and/or</w:t>
      </w:r>
      <w:r w:rsidR="60EA5160" w:rsidRPr="63EB2787">
        <w:rPr>
          <w:sz w:val="24"/>
          <w:szCs w:val="24"/>
        </w:rPr>
        <w:t xml:space="preserve"> </w:t>
      </w:r>
      <w:r w:rsidR="51FC008A" w:rsidRPr="63EB2787">
        <w:rPr>
          <w:sz w:val="24"/>
          <w:szCs w:val="24"/>
        </w:rPr>
        <w:t>site and all approval</w:t>
      </w:r>
      <w:r w:rsidR="1345C7AB" w:rsidRPr="63EB2787">
        <w:rPr>
          <w:sz w:val="24"/>
          <w:szCs w:val="24"/>
        </w:rPr>
        <w:t>s</w:t>
      </w:r>
      <w:r w:rsidR="51FC008A" w:rsidRPr="63EB2787">
        <w:rPr>
          <w:sz w:val="24"/>
          <w:szCs w:val="24"/>
        </w:rPr>
        <w:t xml:space="preserve"> for the use/adaption of the IIHAR </w:t>
      </w:r>
      <w:r w:rsidR="5FB0D9E8" w:rsidRPr="63EB2787">
        <w:rPr>
          <w:sz w:val="24"/>
          <w:szCs w:val="24"/>
        </w:rPr>
        <w:t>t</w:t>
      </w:r>
      <w:r w:rsidR="51FC008A" w:rsidRPr="63EB2787">
        <w:rPr>
          <w:sz w:val="24"/>
          <w:szCs w:val="24"/>
        </w:rPr>
        <w:t xml:space="preserve">ools are the responsibility of </w:t>
      </w:r>
      <w:r w:rsidR="60EA5160" w:rsidRPr="63EB2787">
        <w:rPr>
          <w:sz w:val="24"/>
          <w:szCs w:val="24"/>
        </w:rPr>
        <w:t>each organization</w:t>
      </w:r>
      <w:r w:rsidR="6B12A3E9" w:rsidRPr="63EB2787">
        <w:rPr>
          <w:sz w:val="24"/>
          <w:szCs w:val="24"/>
        </w:rPr>
        <w:t xml:space="preserve"> and/or site.</w:t>
      </w:r>
      <w:r w:rsidR="638A8E04" w:rsidRPr="63EB2787">
        <w:rPr>
          <w:sz w:val="24"/>
          <w:szCs w:val="24"/>
        </w:rPr>
        <w:t xml:space="preserve"> Any changes, amendments and adaptations or partial use of any and/or </w:t>
      </w:r>
      <w:r w:rsidR="60EA5160" w:rsidRPr="63EB2787">
        <w:rPr>
          <w:sz w:val="24"/>
          <w:szCs w:val="24"/>
        </w:rPr>
        <w:t>all</w:t>
      </w:r>
      <w:r w:rsidR="638A8E04" w:rsidRPr="63EB2787">
        <w:rPr>
          <w:sz w:val="24"/>
          <w:szCs w:val="24"/>
        </w:rPr>
        <w:t xml:space="preserve"> </w:t>
      </w:r>
      <w:r w:rsidR="60EA5160" w:rsidRPr="63EB2787">
        <w:rPr>
          <w:sz w:val="24"/>
          <w:szCs w:val="24"/>
        </w:rPr>
        <w:t xml:space="preserve">of </w:t>
      </w:r>
      <w:r w:rsidR="638A8E04" w:rsidRPr="63EB2787">
        <w:rPr>
          <w:sz w:val="24"/>
          <w:szCs w:val="24"/>
        </w:rPr>
        <w:t xml:space="preserve">the IIHAR </w:t>
      </w:r>
      <w:r w:rsidR="5761934A" w:rsidRPr="63EB2787">
        <w:rPr>
          <w:sz w:val="24"/>
          <w:szCs w:val="24"/>
        </w:rPr>
        <w:t>t</w:t>
      </w:r>
      <w:r w:rsidR="638A8E04" w:rsidRPr="63EB2787">
        <w:rPr>
          <w:sz w:val="24"/>
          <w:szCs w:val="24"/>
        </w:rPr>
        <w:t xml:space="preserve">oolkit by other organizations are not the responsibility of HEMBC. Additionally, HEMBC is not liable nor responsible for any outcomes from the use of the IIHAR </w:t>
      </w:r>
      <w:r w:rsidR="5F316FFF" w:rsidRPr="63EB2787">
        <w:rPr>
          <w:sz w:val="24"/>
          <w:szCs w:val="24"/>
        </w:rPr>
        <w:t>t</w:t>
      </w:r>
      <w:r w:rsidR="638A8E04" w:rsidRPr="63EB2787">
        <w:rPr>
          <w:sz w:val="24"/>
          <w:szCs w:val="24"/>
        </w:rPr>
        <w:t>oolkit by other organizations and/or sites in various jurisdictions (local, provincial, federal, private</w:t>
      </w:r>
      <w:r w:rsidR="2EF1472C" w:rsidRPr="63EB2787">
        <w:rPr>
          <w:sz w:val="24"/>
          <w:szCs w:val="24"/>
        </w:rPr>
        <w:t>,</w:t>
      </w:r>
      <w:r w:rsidR="638A8E04" w:rsidRPr="63EB2787">
        <w:rPr>
          <w:sz w:val="24"/>
          <w:szCs w:val="24"/>
        </w:rPr>
        <w:t xml:space="preserve"> etc.).</w:t>
      </w:r>
    </w:p>
    <w:p w14:paraId="6EFF866C" w14:textId="006BDC9D" w:rsidR="00F24FE6" w:rsidRDefault="00F24FE6" w:rsidP="001A64C7">
      <w:pPr>
        <w:pStyle w:val="Heading2"/>
      </w:pPr>
      <w:r w:rsidRPr="63EB2787">
        <w:lastRenderedPageBreak/>
        <w:t>More information</w:t>
      </w:r>
    </w:p>
    <w:p w14:paraId="7F8AC046" w14:textId="36F1190D" w:rsidR="2DEFBCEA" w:rsidRDefault="00F24FE6" w:rsidP="2DEFBCEA">
      <w:pPr>
        <w:rPr>
          <w:sz w:val="24"/>
          <w:szCs w:val="24"/>
        </w:rPr>
      </w:pPr>
      <w:r w:rsidRPr="63EB2787">
        <w:rPr>
          <w:sz w:val="24"/>
          <w:szCs w:val="24"/>
        </w:rPr>
        <w:t xml:space="preserve">Health Emergency Management BC (HEMBC) is a program of PHSA that provides emergency management leadership and support to the health authorities in BC through expertise, education, tools, and support to effectively mitigate, prepare for, respond to, and recover from the impacts of emergency </w:t>
      </w:r>
      <w:proofErr w:type="gramStart"/>
      <w:r w:rsidRPr="63EB2787">
        <w:rPr>
          <w:sz w:val="24"/>
          <w:szCs w:val="24"/>
        </w:rPr>
        <w:t>events;</w:t>
      </w:r>
      <w:proofErr w:type="gramEnd"/>
      <w:r w:rsidRPr="63EB2787">
        <w:rPr>
          <w:sz w:val="24"/>
          <w:szCs w:val="24"/>
        </w:rPr>
        <w:t xml:space="preserve"> ensuring the continuity of health care services.</w:t>
      </w:r>
    </w:p>
    <w:p w14:paraId="7B2F0BA7" w14:textId="0A725EC3" w:rsidR="00F24FE6" w:rsidRDefault="00F24FE6" w:rsidP="2DEFBCEA">
      <w:pPr>
        <w:rPr>
          <w:sz w:val="24"/>
          <w:szCs w:val="24"/>
        </w:rPr>
      </w:pPr>
      <w:r w:rsidRPr="2DEFBCEA">
        <w:rPr>
          <w:sz w:val="24"/>
          <w:szCs w:val="24"/>
        </w:rPr>
        <w:t xml:space="preserve">If you have any questions about the intention, functionality, or adoption of these materials, please contact the HEMBC working group at </w:t>
      </w:r>
      <w:hyperlink r:id="rId10" w:history="1">
        <w:r w:rsidRPr="2DEFBCEA">
          <w:rPr>
            <w:rStyle w:val="Hyperlink"/>
            <w:sz w:val="24"/>
            <w:szCs w:val="24"/>
          </w:rPr>
          <w:t xml:space="preserve">iihar@phsa.ca. </w:t>
        </w:r>
      </w:hyperlink>
      <w:r w:rsidRPr="2DEFBCEA">
        <w:rPr>
          <w:sz w:val="24"/>
          <w:szCs w:val="24"/>
        </w:rPr>
        <w:t xml:space="preserve"> </w:t>
      </w:r>
    </w:p>
    <w:sectPr w:rsidR="00F24FE6">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F2867" w14:textId="77777777" w:rsidR="00073123" w:rsidRDefault="00073123" w:rsidP="00073123">
      <w:pPr>
        <w:spacing w:after="0" w:line="240" w:lineRule="auto"/>
      </w:pPr>
      <w:r>
        <w:separator/>
      </w:r>
    </w:p>
  </w:endnote>
  <w:endnote w:type="continuationSeparator" w:id="0">
    <w:p w14:paraId="40F2692C" w14:textId="77777777" w:rsidR="00073123" w:rsidRDefault="00073123" w:rsidP="00073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C7C25" w14:textId="77777777" w:rsidR="00073123" w:rsidRDefault="00073123" w:rsidP="00073123">
      <w:pPr>
        <w:spacing w:after="0" w:line="240" w:lineRule="auto"/>
      </w:pPr>
      <w:r>
        <w:separator/>
      </w:r>
    </w:p>
  </w:footnote>
  <w:footnote w:type="continuationSeparator" w:id="0">
    <w:p w14:paraId="7EA5A91A" w14:textId="77777777" w:rsidR="00073123" w:rsidRDefault="00073123" w:rsidP="00073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BE0B" w14:textId="5A889589" w:rsidR="00073123" w:rsidRDefault="00073123">
    <w:pPr>
      <w:pStyle w:val="Header"/>
      <w:rPr>
        <w:noProof/>
        <w:lang w:eastAsia="en-CA"/>
      </w:rPr>
    </w:pPr>
    <w:r>
      <w:rPr>
        <w:noProof/>
        <w:lang w:eastAsia="en-CA"/>
      </w:rPr>
      <w:drawing>
        <wp:anchor distT="0" distB="0" distL="114300" distR="114300" simplePos="0" relativeHeight="251658240" behindDoc="1" locked="0" layoutInCell="1" allowOverlap="1" wp14:anchorId="3BE7DF5F" wp14:editId="0291C51F">
          <wp:simplePos x="0" y="0"/>
          <wp:positionH relativeFrom="column">
            <wp:posOffset>0</wp:posOffset>
          </wp:positionH>
          <wp:positionV relativeFrom="paragraph">
            <wp:posOffset>0</wp:posOffset>
          </wp:positionV>
          <wp:extent cx="2286000" cy="1017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017905"/>
                  </a:xfrm>
                  <a:prstGeom prst="rect">
                    <a:avLst/>
                  </a:prstGeom>
                  <a:noFill/>
                </pic:spPr>
              </pic:pic>
            </a:graphicData>
          </a:graphic>
        </wp:anchor>
      </w:drawing>
    </w:r>
  </w:p>
  <w:p w14:paraId="1FD27427" w14:textId="77777777" w:rsidR="00073123" w:rsidRDefault="00073123" w:rsidP="00073123">
    <w:pPr>
      <w:pBdr>
        <w:top w:val="nil"/>
        <w:left w:val="nil"/>
        <w:bottom w:val="nil"/>
        <w:right w:val="nil"/>
        <w:between w:val="nil"/>
      </w:pBdr>
      <w:tabs>
        <w:tab w:val="right" w:pos="9356"/>
      </w:tabs>
      <w:spacing w:after="0"/>
      <w:ind w:left="3402"/>
      <w:jc w:val="right"/>
    </w:pPr>
    <w:r>
      <w:tab/>
    </w:r>
  </w:p>
  <w:p w14:paraId="4EB5AFA2" w14:textId="44EB56E9" w:rsidR="00073123" w:rsidRPr="00073123" w:rsidRDefault="001A64C7" w:rsidP="00073123">
    <w:pPr>
      <w:pBdr>
        <w:top w:val="nil"/>
        <w:left w:val="nil"/>
        <w:bottom w:val="nil"/>
        <w:right w:val="nil"/>
        <w:between w:val="nil"/>
      </w:pBdr>
      <w:tabs>
        <w:tab w:val="right" w:pos="9356"/>
      </w:tabs>
      <w:spacing w:after="0"/>
      <w:ind w:left="3402"/>
      <w:jc w:val="right"/>
      <w:rPr>
        <w:rFonts w:ascii="Calibri" w:eastAsia="Calibri" w:hAnsi="Calibri" w:cs="Times New Roman"/>
        <w:b/>
        <w:sz w:val="32"/>
        <w:szCs w:val="32"/>
      </w:rPr>
    </w:pPr>
    <w:r>
      <w:rPr>
        <w:rFonts w:ascii="Calibri" w:eastAsia="Calibri" w:hAnsi="Calibri" w:cs="Times New Roman"/>
        <w:b/>
        <w:sz w:val="32"/>
        <w:szCs w:val="32"/>
      </w:rPr>
      <w:t>Terms of use</w:t>
    </w:r>
  </w:p>
  <w:p w14:paraId="7909CCCF" w14:textId="5DEACA84" w:rsidR="00073123" w:rsidRPr="00073123" w:rsidRDefault="001A64C7" w:rsidP="001A64C7">
    <w:pPr>
      <w:spacing w:after="0" w:line="240" w:lineRule="auto"/>
      <w:jc w:val="right"/>
      <w:rPr>
        <w:rFonts w:ascii="Arial" w:eastAsia="Arial" w:hAnsi="Arial" w:cs="Arial"/>
        <w:b/>
        <w:sz w:val="8"/>
        <w:szCs w:val="8"/>
      </w:rPr>
    </w:pPr>
    <w:r w:rsidRPr="63EB2787">
      <w:rPr>
        <w:sz w:val="24"/>
        <w:szCs w:val="24"/>
      </w:rPr>
      <w:t>Inter- and Intra- Health Authority Relocation (IIHAR) toolkit</w:t>
    </w:r>
    <w:r>
      <w:rPr>
        <w:rFonts w:ascii="Calibri" w:eastAsia="Calibri" w:hAnsi="Calibri" w:cs="Times New Roman"/>
        <w:noProof/>
      </w:rPr>
      <w:pict w14:anchorId="2FE3BC25">
        <v:rect id="_x0000_i1025" alt="" style="width:370.6pt;height:.05pt;mso-width-percent:0;mso-height-percent:0;mso-width-percent:0;mso-height-percent:0" o:hralign="center" o:hrstd="t" o:hr="t" fillcolor="#a0a0a0" stroked="f"/>
      </w:pict>
    </w:r>
    <w:sdt>
      <w:sdtPr>
        <w:rPr>
          <w:rFonts w:ascii="Calibri" w:eastAsia="Calibri" w:hAnsi="Calibri" w:cs="Calibri"/>
          <w:sz w:val="28"/>
        </w:rPr>
        <w:alias w:val="Title"/>
        <w:tag w:val=""/>
        <w:id w:val="2093506615"/>
        <w:showingPlcHdr/>
        <w:dataBinding w:prefixMappings="xmlns:ns0='http://purl.org/dc/elements/1.1/' xmlns:ns1='http://schemas.openxmlformats.org/package/2006/metadata/core-properties' " w:xpath="/ns1:coreProperties[1]/ns0:title[1]" w:storeItemID="{6C3C8BC8-F283-45AE-878A-BAB7291924A1}"/>
        <w:text/>
      </w:sdtPr>
      <w:sdtEndPr/>
      <w:sdtContent>
        <w:r w:rsidR="00073123" w:rsidRPr="00073123">
          <w:rPr>
            <w:rFonts w:ascii="Calibri" w:eastAsia="Calibri" w:hAnsi="Calibri" w:cs="Calibri"/>
            <w:sz w:val="28"/>
          </w:rPr>
          <w:t xml:space="preserve">     </w:t>
        </w:r>
      </w:sdtContent>
    </w:sdt>
  </w:p>
  <w:p w14:paraId="17AADE7D" w14:textId="08030D8D" w:rsidR="00073123" w:rsidRDefault="00073123" w:rsidP="00073123">
    <w:pPr>
      <w:pStyle w:val="Header"/>
      <w:tabs>
        <w:tab w:val="clear" w:pos="4680"/>
        <w:tab w:val="clear" w:pos="9360"/>
        <w:tab w:val="left" w:pos="5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477EF"/>
    <w:multiLevelType w:val="hybridMultilevel"/>
    <w:tmpl w:val="DC3A45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20271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123"/>
    <w:rsid w:val="000562F5"/>
    <w:rsid w:val="00073123"/>
    <w:rsid w:val="00085054"/>
    <w:rsid w:val="001A399A"/>
    <w:rsid w:val="001A64C7"/>
    <w:rsid w:val="002A6B5D"/>
    <w:rsid w:val="003E4FEB"/>
    <w:rsid w:val="00450CD2"/>
    <w:rsid w:val="00457F47"/>
    <w:rsid w:val="00472749"/>
    <w:rsid w:val="004C14DF"/>
    <w:rsid w:val="00547463"/>
    <w:rsid w:val="005553CC"/>
    <w:rsid w:val="005B5C07"/>
    <w:rsid w:val="007433CE"/>
    <w:rsid w:val="00A66105"/>
    <w:rsid w:val="00C70F42"/>
    <w:rsid w:val="00CB2946"/>
    <w:rsid w:val="00CB470A"/>
    <w:rsid w:val="00D70417"/>
    <w:rsid w:val="00DD04D0"/>
    <w:rsid w:val="00DD08AF"/>
    <w:rsid w:val="00EB44EC"/>
    <w:rsid w:val="00EC7C47"/>
    <w:rsid w:val="00F24FE6"/>
    <w:rsid w:val="00FB0879"/>
    <w:rsid w:val="00FB15D8"/>
    <w:rsid w:val="03D8A244"/>
    <w:rsid w:val="04371E03"/>
    <w:rsid w:val="050BFDBB"/>
    <w:rsid w:val="059E5340"/>
    <w:rsid w:val="0644115D"/>
    <w:rsid w:val="06728C28"/>
    <w:rsid w:val="0887446C"/>
    <w:rsid w:val="09453D76"/>
    <w:rsid w:val="0D292692"/>
    <w:rsid w:val="10EDBD93"/>
    <w:rsid w:val="111BFB5D"/>
    <w:rsid w:val="13158AB9"/>
    <w:rsid w:val="1345C7AB"/>
    <w:rsid w:val="1399E13C"/>
    <w:rsid w:val="169B9125"/>
    <w:rsid w:val="16B75386"/>
    <w:rsid w:val="16D14878"/>
    <w:rsid w:val="1DADC0C3"/>
    <w:rsid w:val="209DFC33"/>
    <w:rsid w:val="2169E456"/>
    <w:rsid w:val="21B1D79F"/>
    <w:rsid w:val="22F7DC4C"/>
    <w:rsid w:val="27389999"/>
    <w:rsid w:val="29E48517"/>
    <w:rsid w:val="2AE97F29"/>
    <w:rsid w:val="2B08D5D8"/>
    <w:rsid w:val="2C815830"/>
    <w:rsid w:val="2D6FBD2E"/>
    <w:rsid w:val="2D8436AA"/>
    <w:rsid w:val="2DEFBCEA"/>
    <w:rsid w:val="2E663EEF"/>
    <w:rsid w:val="2EF1472C"/>
    <w:rsid w:val="315F2608"/>
    <w:rsid w:val="3350AEB3"/>
    <w:rsid w:val="354E0B9B"/>
    <w:rsid w:val="3877BB4C"/>
    <w:rsid w:val="394BFB36"/>
    <w:rsid w:val="39BA5A6C"/>
    <w:rsid w:val="3A017F5F"/>
    <w:rsid w:val="3D270A68"/>
    <w:rsid w:val="3DD2B3B9"/>
    <w:rsid w:val="3E66B67E"/>
    <w:rsid w:val="4002D111"/>
    <w:rsid w:val="428CB099"/>
    <w:rsid w:val="4304A09D"/>
    <w:rsid w:val="44485D91"/>
    <w:rsid w:val="4571C7CE"/>
    <w:rsid w:val="46116F80"/>
    <w:rsid w:val="486080EF"/>
    <w:rsid w:val="4C6C1CD5"/>
    <w:rsid w:val="51FC008A"/>
    <w:rsid w:val="52BC568A"/>
    <w:rsid w:val="538F2174"/>
    <w:rsid w:val="5440B05D"/>
    <w:rsid w:val="54E57EB8"/>
    <w:rsid w:val="54FC70F1"/>
    <w:rsid w:val="5761934A"/>
    <w:rsid w:val="5767C3CE"/>
    <w:rsid w:val="5888087D"/>
    <w:rsid w:val="58A894FC"/>
    <w:rsid w:val="5A465842"/>
    <w:rsid w:val="5A634EED"/>
    <w:rsid w:val="5C7F8690"/>
    <w:rsid w:val="5CBE6EB8"/>
    <w:rsid w:val="5D655A34"/>
    <w:rsid w:val="5E469902"/>
    <w:rsid w:val="5F316FFF"/>
    <w:rsid w:val="5F40FD96"/>
    <w:rsid w:val="5FB0D9E8"/>
    <w:rsid w:val="60EA5160"/>
    <w:rsid w:val="611805D4"/>
    <w:rsid w:val="611F1772"/>
    <w:rsid w:val="6256E67F"/>
    <w:rsid w:val="638A8E04"/>
    <w:rsid w:val="63EB2787"/>
    <w:rsid w:val="645B522A"/>
    <w:rsid w:val="6493B282"/>
    <w:rsid w:val="652785DF"/>
    <w:rsid w:val="668A31E7"/>
    <w:rsid w:val="67B8FC67"/>
    <w:rsid w:val="680CE278"/>
    <w:rsid w:val="6A6A80F5"/>
    <w:rsid w:val="6AE4C729"/>
    <w:rsid w:val="6B12A3E9"/>
    <w:rsid w:val="6B5A101A"/>
    <w:rsid w:val="6C4FF462"/>
    <w:rsid w:val="6D1C5146"/>
    <w:rsid w:val="7074252E"/>
    <w:rsid w:val="72480FFD"/>
    <w:rsid w:val="729D4BF2"/>
    <w:rsid w:val="7374B0CE"/>
    <w:rsid w:val="7A74C972"/>
    <w:rsid w:val="7AA108DE"/>
    <w:rsid w:val="7D066E6F"/>
    <w:rsid w:val="7D68003E"/>
    <w:rsid w:val="7DEAAF26"/>
    <w:rsid w:val="7F2FF7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45418A23"/>
  <w15:chartTrackingRefBased/>
  <w15:docId w15:val="{C4EDCE30-3E3F-4FF4-8998-107F6DAA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123"/>
  </w:style>
  <w:style w:type="paragraph" w:styleId="Footer">
    <w:name w:val="footer"/>
    <w:basedOn w:val="Normal"/>
    <w:link w:val="FooterChar"/>
    <w:uiPriority w:val="99"/>
    <w:unhideWhenUsed/>
    <w:rsid w:val="00073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123"/>
  </w:style>
  <w:style w:type="paragraph" w:styleId="Revision">
    <w:name w:val="Revision"/>
    <w:hidden/>
    <w:uiPriority w:val="99"/>
    <w:semiHidden/>
    <w:rsid w:val="005553CC"/>
    <w:pPr>
      <w:spacing w:after="0" w:line="240" w:lineRule="auto"/>
    </w:pPr>
  </w:style>
  <w:style w:type="character" w:styleId="CommentReference">
    <w:name w:val="annotation reference"/>
    <w:basedOn w:val="DefaultParagraphFont"/>
    <w:uiPriority w:val="99"/>
    <w:semiHidden/>
    <w:unhideWhenUsed/>
    <w:rsid w:val="005553CC"/>
    <w:rPr>
      <w:sz w:val="16"/>
      <w:szCs w:val="16"/>
    </w:rPr>
  </w:style>
  <w:style w:type="paragraph" w:styleId="CommentText">
    <w:name w:val="annotation text"/>
    <w:basedOn w:val="Normal"/>
    <w:link w:val="CommentTextChar"/>
    <w:uiPriority w:val="99"/>
    <w:unhideWhenUsed/>
    <w:rsid w:val="005553CC"/>
    <w:pPr>
      <w:spacing w:line="240" w:lineRule="auto"/>
    </w:pPr>
    <w:rPr>
      <w:sz w:val="20"/>
      <w:szCs w:val="20"/>
    </w:rPr>
  </w:style>
  <w:style w:type="character" w:customStyle="1" w:styleId="CommentTextChar">
    <w:name w:val="Comment Text Char"/>
    <w:basedOn w:val="DefaultParagraphFont"/>
    <w:link w:val="CommentText"/>
    <w:uiPriority w:val="99"/>
    <w:rsid w:val="005553CC"/>
    <w:rPr>
      <w:sz w:val="20"/>
      <w:szCs w:val="20"/>
    </w:rPr>
  </w:style>
  <w:style w:type="paragraph" w:styleId="CommentSubject">
    <w:name w:val="annotation subject"/>
    <w:basedOn w:val="CommentText"/>
    <w:next w:val="CommentText"/>
    <w:link w:val="CommentSubjectChar"/>
    <w:uiPriority w:val="99"/>
    <w:semiHidden/>
    <w:unhideWhenUsed/>
    <w:rsid w:val="005553CC"/>
    <w:rPr>
      <w:b/>
      <w:bCs/>
    </w:rPr>
  </w:style>
  <w:style w:type="character" w:customStyle="1" w:styleId="CommentSubjectChar">
    <w:name w:val="Comment Subject Char"/>
    <w:basedOn w:val="CommentTextChar"/>
    <w:link w:val="CommentSubject"/>
    <w:uiPriority w:val="99"/>
    <w:semiHidden/>
    <w:rsid w:val="005553CC"/>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6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ihar@phsa.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ence1 xmlns="4de64c37-ebdf-406a-9f1b-af099cf715f4"/>
    <n5kk xmlns="5c32920b-2cef-411b-abae-746c048451ae" xsi:nil="true"/>
    <d54dd449c2c54af89444c3906a20b699 xmlns="bb0eaabd-8237-4495-bdf5-f324c842ead6">
      <Terms xmlns="http://schemas.microsoft.com/office/infopath/2007/PartnerControls"/>
    </d54dd449c2c54af89444c3906a20b699>
    <TaxCatchAll xmlns="bb0eaabd-8237-4495-bdf5-f324c842ead6"/>
    <plgl xmlns="5c32920b-2cef-411b-abae-746c048451ae" xsi:nil="true"/>
    <k05366dfea714127ab8826af69afb524 xmlns="bb0eaabd-8237-4495-bdf5-f324c842ead6">
      <Terms xmlns="http://schemas.microsoft.com/office/infopath/2007/PartnerControls"/>
    </k05366dfea714127ab8826af69afb524>
    <DocumentLanguage xmlns="4de64c37-ebdf-406a-9f1b-af099cf715f4" xsi:nil="true"/>
    <DocumentDescription xmlns="4de64c37-ebdf-406a-9f1b-af099cf715f4" xsi:nil="true"/>
    <_dlc_DocId xmlns="bb0eaabd-8237-4495-bdf5-f324c842ead6">PHSADOC-1453730257-49</_dlc_DocId>
    <_dlc_DocIdUrl xmlns="bb0eaabd-8237-4495-bdf5-f324c842ead6">
      <Url>https://ewiauthor.phsa.ca/health-emergency-management-bc-site/_layouts/15/DocIdRedir.aspx?ID=PHSADOC-1453730257-49</Url>
      <Description>PHSADOC-1453730257-49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ustom Document" ma:contentTypeID="0x01010027C4DD6E2671BA48BC4E45ABF1AFDAAB001E082EC70847A54DA7A8D2A975398AB0" ma:contentTypeVersion="18" ma:contentTypeDescription="Create a new document." ma:contentTypeScope="" ma:versionID="2e59ed9556b31477a4a82dcb3f2ba5c2">
  <xsd:schema xmlns:xsd="http://www.w3.org/2001/XMLSchema" xmlns:xs="http://www.w3.org/2001/XMLSchema" xmlns:p="http://schemas.microsoft.com/office/2006/metadata/properties" xmlns:ns2="bb0eaabd-8237-4495-bdf5-f324c842ead6" xmlns:ns3="4de64c37-ebdf-406a-9f1b-af099cf715f4" xmlns:ns4="5c32920b-2cef-411b-abae-746c048451ae" targetNamespace="http://schemas.microsoft.com/office/2006/metadata/properties" ma:root="true" ma:fieldsID="e88ee44eecb43fd7d2814d6ad6abad4c" ns2:_="" ns3:_="" ns4:_="">
    <xsd:import namespace="bb0eaabd-8237-4495-bdf5-f324c842ead6"/>
    <xsd:import namespace="4de64c37-ebdf-406a-9f1b-af099cf715f4"/>
    <xsd:import namespace="5c32920b-2cef-411b-abae-746c048451ae"/>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4:plgl" minOccurs="0"/>
                <xsd:element ref="ns4:n5k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eaabd-8237-4495-bdf5-f324c842ead6"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0c616126-e2fd-408d-a753-49187e530ae1}" ma:internalName="TaxCatchAll" ma:showField="CatchAllData"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c616126-e2fd-408d-a753-49187e530ae1}" ma:internalName="TaxCatchAllLabel" ma:readOnly="true" ma:showField="CatchAllDataLabel"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32920b-2cef-411b-abae-746c048451ae" elementFormDefault="qualified">
    <xsd:import namespace="http://schemas.microsoft.com/office/2006/documentManagement/types"/>
    <xsd:import namespace="http://schemas.microsoft.com/office/infopath/2007/PartnerControls"/>
    <xsd:element name="plgl" ma:index="20" nillable="true" ma:displayName="Date last reviewed" ma:internalName="plgl">
      <xsd:simpleType>
        <xsd:restriction base="dms:DateTime"/>
      </xsd:simpleType>
    </xsd:element>
    <xsd:element name="n5kk" ma:index="21" nillable="true" ma:displayName="Owning team" ma:internalName="n5kk">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F10F0E-FA1C-41B0-BC0B-01CBD5F32C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4FF805-831B-4AEC-BF24-60408B09142D}">
  <ds:schemaRefs>
    <ds:schemaRef ds:uri="http://schemas.microsoft.com/sharepoint/v3/contenttype/forms"/>
  </ds:schemaRefs>
</ds:datastoreItem>
</file>

<file path=customXml/itemProps3.xml><?xml version="1.0" encoding="utf-8"?>
<ds:datastoreItem xmlns:ds="http://schemas.openxmlformats.org/officeDocument/2006/customXml" ds:itemID="{924E0E23-A45A-43D9-81B1-C0B50726E2C2}"/>
</file>

<file path=customXml/itemProps4.xml><?xml version="1.0" encoding="utf-8"?>
<ds:datastoreItem xmlns:ds="http://schemas.openxmlformats.org/officeDocument/2006/customXml" ds:itemID="{692A240E-9C86-42C2-B1FA-6D912097E97D}"/>
</file>

<file path=docProps/app.xml><?xml version="1.0" encoding="utf-8"?>
<Properties xmlns="http://schemas.openxmlformats.org/officeDocument/2006/extended-properties" xmlns:vt="http://schemas.openxmlformats.org/officeDocument/2006/docPropsVTypes">
  <Template>Normal</Template>
  <TotalTime>5</TotalTime>
  <Pages>2</Pages>
  <Words>490</Words>
  <Characters>2795</Characters>
  <Application>Microsoft Office Word</Application>
  <DocSecurity>0</DocSecurity>
  <Lines>23</Lines>
  <Paragraphs>6</Paragraphs>
  <ScaleCrop>false</ScaleCrop>
  <Company>BC Healthcare</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Laverty, Ethan [PHSA]</dc:creator>
  <cp:keywords/>
  <dc:description/>
  <cp:lastModifiedBy>Spence, Nicole [PHSA]</cp:lastModifiedBy>
  <cp:revision>6</cp:revision>
  <dcterms:created xsi:type="dcterms:W3CDTF">2024-04-24T18:28:00Z</dcterms:created>
  <dcterms:modified xsi:type="dcterms:W3CDTF">2024-05-31T19:41:00Z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0x01010027C4DD6E2671BA48BC4E45ABF1AFDAAB001E082EC70847A54DA7A8D2A975398AB0</vt:lpwstr>
  </property>
  <property fmtid="{D5CDD505-2E9C-101B-9397-08002B2CF9AE}" pid="3" name="_dlc_DocIdItemGuid">
    <vt:lpwstr>b223b91c-db67-46de-8197-ccc851b63150</vt:lpwstr>
  </property>
  <property fmtid="{D5CDD505-2E9C-101B-9397-08002B2CF9AE}" pid="4" name="ResourceCategory">
    <vt:lpwstr/>
  </property>
  <property fmtid="{D5CDD505-2E9C-101B-9397-08002B2CF9AE}" pid="5" name="ResourceType">
    <vt:lpwstr/>
  </property>
</Properties>
</file>